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7B" w:rsidRDefault="0075077B" w:rsidP="0075077B">
      <w:pPr>
        <w:pStyle w:val="berschrift1"/>
      </w:pPr>
    </w:p>
    <w:p w:rsidR="0075077B" w:rsidRDefault="0075077B" w:rsidP="0075077B">
      <w:pPr>
        <w:pStyle w:val="berschrift1"/>
        <w:rPr>
          <w:rFonts w:ascii="Bookman Old Style" w:hAnsi="Bookman Old Style"/>
          <w:b/>
          <w:bCs/>
          <w:sz w:val="24"/>
          <w:u w:val="none"/>
        </w:rPr>
      </w:pPr>
      <w:r>
        <w:rPr>
          <w:b/>
          <w:bCs/>
          <w:i/>
          <w:iCs/>
          <w:sz w:val="24"/>
          <w:u w:val="none"/>
        </w:rPr>
        <w:t xml:space="preserve">                                                                    </w:t>
      </w:r>
    </w:p>
    <w:p w:rsidR="00123254" w:rsidRDefault="00123254" w:rsidP="0075077B">
      <w:pPr>
        <w:pStyle w:val="berschrift1"/>
      </w:pPr>
    </w:p>
    <w:p w:rsidR="00123254" w:rsidRDefault="00123254" w:rsidP="0075077B">
      <w:pPr>
        <w:pStyle w:val="berschrift1"/>
      </w:pPr>
    </w:p>
    <w:p w:rsidR="00123254" w:rsidRDefault="00123254" w:rsidP="0075077B">
      <w:pPr>
        <w:pStyle w:val="berschrift1"/>
      </w:pPr>
    </w:p>
    <w:p w:rsidR="0075077B" w:rsidRDefault="0075077B" w:rsidP="0075077B">
      <w:pPr>
        <w:pStyle w:val="berschrift1"/>
      </w:pPr>
      <w:r>
        <w:rPr>
          <w:u w:val="none"/>
        </w:rPr>
        <w:t xml:space="preserve">                                                                                                                                                         </w:t>
      </w:r>
    </w:p>
    <w:p w:rsidR="0075077B" w:rsidRDefault="0075077B" w:rsidP="0075077B">
      <w:r>
        <w:rPr>
          <w:b/>
          <w:bCs/>
        </w:rPr>
        <w:t xml:space="preserve">                                                                                          </w:t>
      </w:r>
    </w:p>
    <w:p w:rsidR="00282675" w:rsidRDefault="00282675" w:rsidP="0075077B">
      <w:pPr>
        <w:tabs>
          <w:tab w:val="left" w:pos="1530"/>
          <w:tab w:val="right" w:pos="9524"/>
        </w:tabs>
        <w:jc w:val="right"/>
      </w:pPr>
    </w:p>
    <w:p w:rsidR="00023EF4" w:rsidRDefault="00023EF4" w:rsidP="00282675">
      <w:pPr>
        <w:tabs>
          <w:tab w:val="left" w:pos="1530"/>
        </w:tabs>
      </w:pPr>
    </w:p>
    <w:p w:rsidR="00023EF4" w:rsidRDefault="00023EF4" w:rsidP="00282675">
      <w:pPr>
        <w:tabs>
          <w:tab w:val="left" w:pos="1530"/>
        </w:tabs>
      </w:pPr>
    </w:p>
    <w:p w:rsidR="00282675" w:rsidRDefault="00282675" w:rsidP="00282675">
      <w:pPr>
        <w:tabs>
          <w:tab w:val="left" w:pos="1530"/>
        </w:tabs>
      </w:pPr>
      <w:r>
        <w:t>Eheleute</w:t>
      </w:r>
    </w:p>
    <w:p w:rsidR="00282675" w:rsidRDefault="00D136CE" w:rsidP="00282675">
      <w:pPr>
        <w:tabs>
          <w:tab w:val="left" w:pos="1530"/>
        </w:tabs>
      </w:pPr>
      <w:r>
        <w:t>XXXXXXXXXXX</w:t>
      </w:r>
    </w:p>
    <w:p w:rsidR="00282675" w:rsidRDefault="00D136CE" w:rsidP="00282675">
      <w:pPr>
        <w:tabs>
          <w:tab w:val="left" w:pos="1530"/>
        </w:tabs>
      </w:pPr>
      <w:r>
        <w:t>XXXXXXXXXXX</w:t>
      </w:r>
    </w:p>
    <w:p w:rsidR="00282675" w:rsidRDefault="00D136CE" w:rsidP="00282675">
      <w:pPr>
        <w:tabs>
          <w:tab w:val="left" w:pos="1530"/>
        </w:tabs>
      </w:pPr>
      <w:r>
        <w:t>XXXXXXXXXXX</w:t>
      </w:r>
    </w:p>
    <w:p w:rsidR="00282675" w:rsidRDefault="00282675" w:rsidP="00282675">
      <w:pPr>
        <w:tabs>
          <w:tab w:val="left" w:pos="1530"/>
          <w:tab w:val="right" w:pos="9524"/>
        </w:tabs>
      </w:pPr>
    </w:p>
    <w:p w:rsidR="002A142A" w:rsidRDefault="002A142A" w:rsidP="0075077B">
      <w:pPr>
        <w:tabs>
          <w:tab w:val="left" w:pos="1530"/>
          <w:tab w:val="right" w:pos="9524"/>
        </w:tabs>
        <w:jc w:val="right"/>
      </w:pPr>
    </w:p>
    <w:p w:rsidR="0075077B" w:rsidRDefault="0075077B" w:rsidP="0075077B">
      <w:pPr>
        <w:tabs>
          <w:tab w:val="left" w:pos="1530"/>
          <w:tab w:val="right" w:pos="9524"/>
        </w:tabs>
        <w:jc w:val="right"/>
      </w:pPr>
      <w:r>
        <w:t xml:space="preserve">Stadtsteinach, </w:t>
      </w:r>
      <w:r w:rsidR="007940FF">
        <w:t>Feb. 201</w:t>
      </w:r>
      <w:r w:rsidR="00FB0860">
        <w:t>8</w:t>
      </w:r>
    </w:p>
    <w:p w:rsidR="00442AFE" w:rsidRDefault="00442AFE" w:rsidP="0075077B">
      <w:pPr>
        <w:pStyle w:val="berschrift5"/>
        <w:rPr>
          <w:rFonts w:ascii="Bookman Old Style" w:hAnsi="Bookman Old Style"/>
        </w:rPr>
      </w:pPr>
    </w:p>
    <w:p w:rsidR="0075077B" w:rsidRDefault="0075077B" w:rsidP="0075077B">
      <w:pPr>
        <w:pStyle w:val="berschrift5"/>
        <w:rPr>
          <w:rFonts w:ascii="Bookman Old Style" w:hAnsi="Bookman Old Style"/>
        </w:rPr>
      </w:pPr>
      <w:r>
        <w:rPr>
          <w:rFonts w:ascii="Bookman Old Style" w:hAnsi="Bookman Old Style"/>
        </w:rPr>
        <w:t xml:space="preserve">PORTFOLIO–REPORTING </w:t>
      </w:r>
    </w:p>
    <w:p w:rsidR="007940FF" w:rsidRDefault="00E516F3" w:rsidP="00023EF4">
      <w:pPr>
        <w:jc w:val="center"/>
        <w:rPr>
          <w:b/>
          <w:sz w:val="28"/>
          <w:szCs w:val="28"/>
        </w:rPr>
      </w:pPr>
      <w:r>
        <w:rPr>
          <w:b/>
          <w:iCs/>
          <w:sz w:val="28"/>
          <w:szCs w:val="28"/>
        </w:rPr>
        <w:t>2017: Ohne Aktien keine Rendite!</w:t>
      </w:r>
      <w:r w:rsidR="00FB0860">
        <w:rPr>
          <w:b/>
          <w:iCs/>
          <w:sz w:val="28"/>
          <w:szCs w:val="28"/>
        </w:rPr>
        <w:t xml:space="preserve"> </w:t>
      </w:r>
    </w:p>
    <w:p w:rsidR="00E516F3" w:rsidRDefault="00023EF4" w:rsidP="00023EF4">
      <w:pPr>
        <w:jc w:val="center"/>
        <w:rPr>
          <w:b/>
          <w:sz w:val="28"/>
          <w:szCs w:val="28"/>
        </w:rPr>
      </w:pPr>
      <w:r>
        <w:rPr>
          <w:b/>
          <w:sz w:val="28"/>
          <w:szCs w:val="28"/>
        </w:rPr>
        <w:t>Rückblick 201</w:t>
      </w:r>
      <w:r w:rsidR="00FB0860">
        <w:rPr>
          <w:b/>
          <w:sz w:val="28"/>
          <w:szCs w:val="28"/>
        </w:rPr>
        <w:t>7</w:t>
      </w:r>
      <w:r>
        <w:rPr>
          <w:b/>
          <w:sz w:val="28"/>
          <w:szCs w:val="28"/>
        </w:rPr>
        <w:t xml:space="preserve"> – Ausblick 201</w:t>
      </w:r>
      <w:r w:rsidR="00FB0860">
        <w:rPr>
          <w:b/>
          <w:sz w:val="28"/>
          <w:szCs w:val="28"/>
        </w:rPr>
        <w:t>8</w:t>
      </w:r>
      <w:r>
        <w:rPr>
          <w:b/>
          <w:sz w:val="28"/>
          <w:szCs w:val="28"/>
        </w:rPr>
        <w:t xml:space="preserve">   </w:t>
      </w:r>
    </w:p>
    <w:p w:rsidR="0075077B" w:rsidRDefault="0075077B" w:rsidP="0075077B">
      <w:pPr>
        <w:pStyle w:val="berschrift7"/>
        <w:rPr>
          <w:lang w:val="de-DE"/>
        </w:rPr>
      </w:pPr>
      <w:r>
        <w:rPr>
          <w:lang w:val="de-DE"/>
        </w:rPr>
        <w:t>Moventum-Ruhestands-Depot</w:t>
      </w:r>
      <w:r w:rsidR="00F77237">
        <w:rPr>
          <w:lang w:val="de-DE"/>
        </w:rPr>
        <w:t xml:space="preserve"> #</w:t>
      </w:r>
      <w:r w:rsidR="001E6F96">
        <w:rPr>
          <w:lang w:val="de-DE"/>
        </w:rPr>
        <w:t>XXXXXXXX</w:t>
      </w:r>
    </w:p>
    <w:p w:rsidR="0075077B" w:rsidRDefault="0075077B" w:rsidP="0075077B"/>
    <w:p w:rsidR="00D760BB" w:rsidRDefault="001E6F96" w:rsidP="00D760BB">
      <w:r>
        <w:t>XXXXXXXX</w:t>
      </w:r>
      <w:r w:rsidR="00D760BB">
        <w:t>,</w:t>
      </w:r>
    </w:p>
    <w:p w:rsidR="00FB0860" w:rsidRDefault="00FB0860" w:rsidP="00D760BB"/>
    <w:p w:rsidR="00ED3F94" w:rsidRDefault="00FB0860" w:rsidP="00D760BB">
      <w:r>
        <w:rPr>
          <w:rFonts w:ascii="Roboto" w:hAnsi="Roboto" w:cs="Arial"/>
          <w:noProof/>
          <w:color w:val="000000"/>
          <w:sz w:val="9"/>
          <w:szCs w:val="9"/>
        </w:rPr>
        <w:drawing>
          <wp:anchor distT="0" distB="0" distL="114300" distR="114300" simplePos="0" relativeHeight="251701248" behindDoc="1" locked="0" layoutInCell="1" allowOverlap="1">
            <wp:simplePos x="0" y="0"/>
            <wp:positionH relativeFrom="column">
              <wp:posOffset>3301153</wp:posOffset>
            </wp:positionH>
            <wp:positionV relativeFrom="paragraph">
              <wp:posOffset>61595</wp:posOffset>
            </wp:positionV>
            <wp:extent cx="2247477" cy="1498600"/>
            <wp:effectExtent l="19050" t="0" r="423" b="0"/>
            <wp:wrapTight wrapText="bothSides">
              <wp:wrapPolygon edited="0">
                <wp:start x="-183" y="0"/>
                <wp:lineTo x="-183" y="21417"/>
                <wp:lineTo x="21604" y="21417"/>
                <wp:lineTo x="21604" y="0"/>
                <wp:lineTo x="-183" y="0"/>
              </wp:wrapPolygon>
            </wp:wrapTight>
            <wp:docPr id="4" name="Bild 1" descr="http://www.fondsprofessionell.de/gallery/galleries/1517217650/H-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ndsprofessionell.de/gallery/galleries/1517217650/H-4800.jpg"/>
                    <pic:cNvPicPr>
                      <a:picLocks noChangeAspect="1" noChangeArrowheads="1"/>
                    </pic:cNvPicPr>
                  </pic:nvPicPr>
                  <pic:blipFill>
                    <a:blip r:embed="rId8" cstate="print"/>
                    <a:srcRect/>
                    <a:stretch>
                      <a:fillRect/>
                    </a:stretch>
                  </pic:blipFill>
                  <pic:spPr bwMode="auto">
                    <a:xfrm>
                      <a:off x="0" y="0"/>
                      <a:ext cx="2247477" cy="1498600"/>
                    </a:xfrm>
                    <a:prstGeom prst="rect">
                      <a:avLst/>
                    </a:prstGeom>
                    <a:noFill/>
                    <a:ln w="9525">
                      <a:noFill/>
                      <a:miter lim="800000"/>
                      <a:headEnd/>
                      <a:tailEnd/>
                    </a:ln>
                  </pic:spPr>
                </pic:pic>
              </a:graphicData>
            </a:graphic>
          </wp:anchor>
        </w:drawing>
      </w:r>
      <w:r>
        <w:t xml:space="preserve">in den letzten Tagen haben wir wie jedes Jahr den Fondskongress in Mannheim für Sie besucht. Wir nutzen diese Finanzmesse immer gerne, um ein Gefühl für die Stimmung im Markt zu erhalten. </w:t>
      </w:r>
      <w:r w:rsidR="00ED3F94">
        <w:t xml:space="preserve">Leider konnte auch heuer niemand mit der „Glas-kugel“ aufwarten, die die Zukunft verlässlich vor-hersagen würde. </w:t>
      </w:r>
    </w:p>
    <w:p w:rsidR="00ED3F94" w:rsidRDefault="00ED3F94" w:rsidP="00D760BB">
      <w:r>
        <w:t>Auch bei den Fachvorträgen gibt es naturgemäß immer verschiedene Sichtweise</w:t>
      </w:r>
      <w:r w:rsidR="00442AFE">
        <w:t>n</w:t>
      </w:r>
      <w:r>
        <w:t xml:space="preserve"> mit durchaus für alle Seiten nachvollziehbaren Argumenten.</w:t>
      </w:r>
    </w:p>
    <w:p w:rsidR="00ED3F94" w:rsidRDefault="00ED3F94" w:rsidP="00D760BB"/>
    <w:p w:rsidR="00ED3F94" w:rsidRDefault="00ED3F94" w:rsidP="00D760BB">
      <w:r>
        <w:t>Zusammenfassend ist nach Meinung der Fachwelt derzeit das einzig Negative, die Tatsache, dass wir schon sehr lange an den Märkten positiv sind.</w:t>
      </w:r>
    </w:p>
    <w:p w:rsidR="00ED3F94" w:rsidRDefault="00ED3F94" w:rsidP="00D760BB">
      <w:r>
        <w:t>Aber reicht das als Argument für Angst?</w:t>
      </w:r>
    </w:p>
    <w:p w:rsidR="00ED3F94" w:rsidRDefault="00ED3F94" w:rsidP="00D760BB"/>
    <w:p w:rsidR="00ED3F94" w:rsidRDefault="00ED3F94" w:rsidP="00D760BB">
      <w:r>
        <w:t xml:space="preserve">Die wirtschaftlichen Rahmendaten sind nach wie vor hervorragend. Genau genommen, so gut wie seit Langem nicht mehr. </w:t>
      </w:r>
    </w:p>
    <w:p w:rsidR="00E516F3" w:rsidRDefault="00E516F3" w:rsidP="00D760BB">
      <w:r>
        <w:t>Und dies trotz oder gerade wegen (?) einer fehlenden Regierung bei uns. Man stellt sich manchmal die Frage, brauchen wir überhaupt eine?</w:t>
      </w:r>
    </w:p>
    <w:p w:rsidR="00ED3F94" w:rsidRDefault="00ED3F94" w:rsidP="00D760BB">
      <w:r>
        <w:t xml:space="preserve">Natürlich brauchen wir die; aber vor Schnelligkeit </w:t>
      </w:r>
      <w:r w:rsidR="00E516F3">
        <w:t xml:space="preserve">sollte </w:t>
      </w:r>
      <w:r>
        <w:t>sicher Gründlichkeit</w:t>
      </w:r>
      <w:r w:rsidR="00E516F3">
        <w:t xml:space="preserve"> entscheiden</w:t>
      </w:r>
      <w:r>
        <w:t xml:space="preserve">. </w:t>
      </w:r>
    </w:p>
    <w:p w:rsidR="00ED3F94" w:rsidRDefault="00ED3F94" w:rsidP="00D760BB">
      <w:r>
        <w:t xml:space="preserve">Und bitte keine </w:t>
      </w:r>
      <w:r w:rsidR="00E516F3">
        <w:t>Vereinbarungen</w:t>
      </w:r>
      <w:r>
        <w:t>, die der guten Entwicklung „in den Rücken fallen“.</w:t>
      </w:r>
    </w:p>
    <w:p w:rsidR="00ED3F94" w:rsidRDefault="00ED3F94" w:rsidP="00D760BB">
      <w:r>
        <w:rPr>
          <w:noProof/>
        </w:rPr>
        <w:drawing>
          <wp:anchor distT="0" distB="0" distL="114300" distR="114300" simplePos="0" relativeHeight="251702272" behindDoc="1" locked="0" layoutInCell="1" allowOverlap="1">
            <wp:simplePos x="0" y="0"/>
            <wp:positionH relativeFrom="column">
              <wp:posOffset>20320</wp:posOffset>
            </wp:positionH>
            <wp:positionV relativeFrom="paragraph">
              <wp:posOffset>24130</wp:posOffset>
            </wp:positionV>
            <wp:extent cx="1792605" cy="1193800"/>
            <wp:effectExtent l="19050" t="0" r="0" b="0"/>
            <wp:wrapTight wrapText="bothSides">
              <wp:wrapPolygon edited="0">
                <wp:start x="-230" y="0"/>
                <wp:lineTo x="-230" y="21370"/>
                <wp:lineTo x="21577" y="21370"/>
                <wp:lineTo x="21577" y="0"/>
                <wp:lineTo x="-230" y="0"/>
              </wp:wrapPolygon>
            </wp:wrapTight>
            <wp:docPr id="6" name="Bild 4" descr="Bildergebnis für trump bild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trump bilder">
                      <a:hlinkClick r:id="rId9" tgtFrame="&quot;_blank&quot;"/>
                    </pic:cNvPr>
                    <pic:cNvPicPr>
                      <a:picLocks noChangeAspect="1" noChangeArrowheads="1"/>
                    </pic:cNvPicPr>
                  </pic:nvPicPr>
                  <pic:blipFill>
                    <a:blip r:embed="rId10"/>
                    <a:srcRect/>
                    <a:stretch>
                      <a:fillRect/>
                    </a:stretch>
                  </pic:blipFill>
                  <pic:spPr bwMode="auto">
                    <a:xfrm>
                      <a:off x="0" y="0"/>
                      <a:ext cx="1792605" cy="1193800"/>
                    </a:xfrm>
                    <a:prstGeom prst="rect">
                      <a:avLst/>
                    </a:prstGeom>
                    <a:noFill/>
                    <a:ln w="9525">
                      <a:noFill/>
                      <a:miter lim="800000"/>
                      <a:headEnd/>
                      <a:tailEnd/>
                    </a:ln>
                  </pic:spPr>
                </pic:pic>
              </a:graphicData>
            </a:graphic>
          </wp:anchor>
        </w:drawing>
      </w:r>
      <w:r>
        <w:t xml:space="preserve">International haben wir das Jahr 1 nach Trump. </w:t>
      </w:r>
    </w:p>
    <w:p w:rsidR="00ED3F94" w:rsidRDefault="00ED3F94" w:rsidP="00D760BB">
      <w:r>
        <w:t>Unsere Meinung im letzten Reporting, dass er sowohl Risiko als auch Chance darstellt, hat sich bewahrheitet.</w:t>
      </w:r>
    </w:p>
    <w:p w:rsidR="004C282C" w:rsidRDefault="00ED3F94" w:rsidP="00D760BB">
      <w:r>
        <w:t>Persönlich im Auftreten und charakterlich kann man ihm wohl nur Besserung wünschen. In den wirtschaftlichen Entscheid-ungen und der damit verbunden</w:t>
      </w:r>
      <w:r w:rsidR="004C282C">
        <w:t>en</w:t>
      </w:r>
      <w:r>
        <w:t xml:space="preserve"> Entwicklung der US-</w:t>
      </w:r>
    </w:p>
    <w:p w:rsidR="004C282C" w:rsidRDefault="004C282C" w:rsidP="004C282C">
      <w:pPr>
        <w:jc w:val="center"/>
        <w:rPr>
          <w:u w:val="single"/>
        </w:rPr>
      </w:pPr>
      <w:r>
        <w:rPr>
          <w:u w:val="single"/>
        </w:rPr>
        <w:t>Seite 1 von 4</w:t>
      </w:r>
    </w:p>
    <w:p w:rsidR="004C282C" w:rsidRDefault="00ED3F94" w:rsidP="00D760BB">
      <w:r>
        <w:lastRenderedPageBreak/>
        <w:t xml:space="preserve">Wirtschaft können wir ihm aber durchaus </w:t>
      </w:r>
      <w:r w:rsidR="004C282C">
        <w:t xml:space="preserve">positive Ansätze bescheinigen. </w:t>
      </w:r>
    </w:p>
    <w:p w:rsidR="004C282C" w:rsidRDefault="004C282C" w:rsidP="00D760BB">
      <w:r>
        <w:t xml:space="preserve">Gerade die jüngst umgesetzte Steuerreform wird in der US-Wirtschaft neue Akzente setzen. </w:t>
      </w:r>
    </w:p>
    <w:p w:rsidR="004C282C" w:rsidRDefault="004C282C" w:rsidP="00D760BB"/>
    <w:p w:rsidR="004C282C" w:rsidRDefault="004C282C" w:rsidP="00D760BB">
      <w:r>
        <w:t xml:space="preserve">Das Jahr 2017 hat sich auch für deutsche Anleger erneut positiv entwickelt. Sparer klagen nach wie vor über Niedrigzinsen. Nach unserer Meinung wird dies auch noch lange so bleiben. In den USA werden die Leitzinsen zwar schon wieder etwas angehoben (wir rechnen hier mit 3 – 4 Zinserhöhungen in diesem Jahr); allerdings ist dies nicht marktschädlich. Die Erhöhungen in </w:t>
      </w:r>
      <w:r w:rsidR="00442AFE">
        <w:t xml:space="preserve">den </w:t>
      </w:r>
      <w:r>
        <w:t xml:space="preserve">USA sind im Rahmen der Wirtschaftsentwicklung und sollten daher die Märkte eher stützen. </w:t>
      </w:r>
    </w:p>
    <w:p w:rsidR="001C5822" w:rsidRDefault="001C5822" w:rsidP="00D760BB"/>
    <w:p w:rsidR="004C282C" w:rsidRDefault="004C282C" w:rsidP="00D760BB">
      <w:r>
        <w:rPr>
          <w:noProof/>
        </w:rPr>
        <w:drawing>
          <wp:anchor distT="0" distB="0" distL="114300" distR="114300" simplePos="0" relativeHeight="251703296" behindDoc="1" locked="0" layoutInCell="1" allowOverlap="1">
            <wp:simplePos x="0" y="0"/>
            <wp:positionH relativeFrom="column">
              <wp:posOffset>3138805</wp:posOffset>
            </wp:positionH>
            <wp:positionV relativeFrom="paragraph">
              <wp:posOffset>278130</wp:posOffset>
            </wp:positionV>
            <wp:extent cx="2581275" cy="1595755"/>
            <wp:effectExtent l="19050" t="0" r="9525" b="0"/>
            <wp:wrapTight wrapText="bothSides">
              <wp:wrapPolygon edited="0">
                <wp:start x="-159" y="0"/>
                <wp:lineTo x="-159" y="21402"/>
                <wp:lineTo x="21680" y="21402"/>
                <wp:lineTo x="21680" y="0"/>
                <wp:lineTo x="-159" y="0"/>
              </wp:wrapPolygon>
            </wp:wrapTight>
            <wp:docPr id="7" name="Bild 7" descr="C:\Users\Klaus Witzgall\AppData\Local\Microsoft\Windows\INetCache\Content.Word\Hypothekenzinsen_und_Sparzin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laus Witzgall\AppData\Local\Microsoft\Windows\INetCache\Content.Word\Hypothekenzinsen_und_Sparzinsen.png"/>
                    <pic:cNvPicPr>
                      <a:picLocks noChangeAspect="1" noChangeArrowheads="1"/>
                    </pic:cNvPicPr>
                  </pic:nvPicPr>
                  <pic:blipFill>
                    <a:blip r:embed="rId11"/>
                    <a:srcRect/>
                    <a:stretch>
                      <a:fillRect/>
                    </a:stretch>
                  </pic:blipFill>
                  <pic:spPr bwMode="auto">
                    <a:xfrm>
                      <a:off x="0" y="0"/>
                      <a:ext cx="2581275" cy="1595755"/>
                    </a:xfrm>
                    <a:prstGeom prst="rect">
                      <a:avLst/>
                    </a:prstGeom>
                    <a:noFill/>
                    <a:ln w="9525">
                      <a:noFill/>
                      <a:miter lim="800000"/>
                      <a:headEnd/>
                      <a:tailEnd/>
                    </a:ln>
                  </pic:spPr>
                </pic:pic>
              </a:graphicData>
            </a:graphic>
          </wp:anchor>
        </w:drawing>
      </w:r>
      <w:r>
        <w:t>In Europa läuft noch das Anleihen-Aufkaufprogramm der EZB. So lange dies im Gange ist, machen Zinserhöhungen keinen Sinn. Damit sollte für die nächsten 2 – 3 Jahre hier eher weiter ein Niedrigzinsniveau herrschen. Natür</w:t>
      </w:r>
      <w:r w:rsidR="001C5822">
        <w:t>-</w:t>
      </w:r>
      <w:r>
        <w:t>lich können auch ohne Leitzinserhöhungen die Zinsen für Hausfinanzierungen eher leicht steigen. Daher sollte man sich die gegenwärtigen Niedrigzinsen lange sichern</w:t>
      </w:r>
      <w:r w:rsidR="00442AFE">
        <w:t>,</w:t>
      </w:r>
      <w:r>
        <w:t xml:space="preserve"> oder bereits jetzt ein laufendes Darlehen verlängern. Dies ist in der Regel bis zu drei Jahre vor Ende der Zinsbindung möglich. </w:t>
      </w:r>
    </w:p>
    <w:p w:rsidR="00172330" w:rsidRDefault="00172330" w:rsidP="00D760BB"/>
    <w:p w:rsidR="00172330" w:rsidRPr="00172330" w:rsidRDefault="00172330" w:rsidP="00D760BB">
      <w:pPr>
        <w:rPr>
          <w:b/>
        </w:rPr>
      </w:pPr>
      <w:r w:rsidRPr="00172330">
        <w:rPr>
          <w:b/>
        </w:rPr>
        <w:t>Rendite ausgewählter Vermögensverwaltungen 2017:</w:t>
      </w:r>
    </w:p>
    <w:p w:rsidR="004C282C" w:rsidRPr="00172330" w:rsidRDefault="00172330" w:rsidP="00172330">
      <w:pPr>
        <w:rPr>
          <w:b/>
          <w:bCs/>
          <w:sz w:val="28"/>
          <w:szCs w:val="28"/>
        </w:rPr>
      </w:pPr>
      <w:r w:rsidRPr="00172330">
        <w:rPr>
          <w:b/>
          <w:bCs/>
          <w:noProof/>
          <w:sz w:val="28"/>
          <w:szCs w:val="28"/>
        </w:rPr>
        <w:drawing>
          <wp:inline distT="0" distB="0" distL="0" distR="0">
            <wp:extent cx="5759450" cy="443219"/>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59450" cy="443219"/>
                    </a:xfrm>
                    <a:prstGeom prst="rect">
                      <a:avLst/>
                    </a:prstGeom>
                    <a:noFill/>
                    <a:ln w="9525">
                      <a:noFill/>
                      <a:miter lim="800000"/>
                      <a:headEnd/>
                      <a:tailEnd/>
                    </a:ln>
                  </pic:spPr>
                </pic:pic>
              </a:graphicData>
            </a:graphic>
          </wp:inline>
        </w:drawing>
      </w:r>
    </w:p>
    <w:p w:rsidR="00FE72CE" w:rsidRDefault="00222250" w:rsidP="00222250">
      <w:pPr>
        <w:rPr>
          <w:b/>
          <w:bCs/>
          <w:sz w:val="28"/>
          <w:szCs w:val="28"/>
        </w:rPr>
      </w:pPr>
      <w:r>
        <w:rPr>
          <w:b/>
          <w:bCs/>
          <w:sz w:val="28"/>
          <w:szCs w:val="28"/>
        </w:rPr>
        <w:t xml:space="preserve">                                                                      </w:t>
      </w:r>
    </w:p>
    <w:p w:rsidR="00EA5401" w:rsidRDefault="00EA5401" w:rsidP="00EA5401">
      <w:pPr>
        <w:jc w:val="center"/>
        <w:rPr>
          <w:i/>
          <w:iCs/>
          <w:color w:val="008000"/>
        </w:rPr>
      </w:pPr>
      <w:r w:rsidRPr="00655953">
        <w:rPr>
          <w:i/>
          <w:iCs/>
          <w:color w:val="008000"/>
        </w:rPr>
        <w:t>---------------------------------------------------------------------------------</w:t>
      </w:r>
    </w:p>
    <w:p w:rsidR="00EA5401" w:rsidRDefault="00EA5401" w:rsidP="00EA5401">
      <w:pPr>
        <w:rPr>
          <w:i/>
          <w:iCs/>
          <w:sz w:val="22"/>
        </w:rPr>
      </w:pPr>
    </w:p>
    <w:p w:rsidR="005767CF" w:rsidRDefault="005767CF" w:rsidP="005767CF">
      <w:pPr>
        <w:pBdr>
          <w:top w:val="double" w:sz="4" w:space="1" w:color="auto"/>
          <w:left w:val="double" w:sz="4" w:space="1" w:color="auto"/>
          <w:bottom w:val="double" w:sz="4" w:space="1" w:color="auto"/>
          <w:right w:val="double" w:sz="4" w:space="1" w:color="auto"/>
        </w:pBdr>
        <w:rPr>
          <w:b/>
          <w:sz w:val="28"/>
          <w:szCs w:val="28"/>
        </w:rPr>
      </w:pPr>
      <w:r>
        <w:rPr>
          <w:b/>
          <w:sz w:val="28"/>
          <w:szCs w:val="28"/>
        </w:rPr>
        <w:t>An dieser Stelle ist bei Bestandskunden eine genaue Darstellung der Depot-Wertentwicklung dargestellt.</w:t>
      </w:r>
    </w:p>
    <w:p w:rsidR="005767CF" w:rsidRDefault="005767CF" w:rsidP="005767CF">
      <w:pPr>
        <w:pBdr>
          <w:top w:val="double" w:sz="4" w:space="1" w:color="auto"/>
          <w:left w:val="double" w:sz="4" w:space="1" w:color="auto"/>
          <w:bottom w:val="double" w:sz="4" w:space="1" w:color="auto"/>
          <w:right w:val="double" w:sz="4" w:space="1" w:color="auto"/>
        </w:pBdr>
        <w:rPr>
          <w:b/>
          <w:sz w:val="28"/>
          <w:szCs w:val="28"/>
        </w:rPr>
      </w:pPr>
      <w:r>
        <w:rPr>
          <w:b/>
          <w:sz w:val="28"/>
          <w:szCs w:val="28"/>
        </w:rPr>
        <w:t xml:space="preserve">Wenn Sie auch von den Chancen der Kapitalmärkte profitieren möchten, sprechen Sie uns bitte an. </w:t>
      </w:r>
    </w:p>
    <w:p w:rsidR="005767CF" w:rsidRDefault="005767CF" w:rsidP="005767CF"/>
    <w:p w:rsidR="005767CF" w:rsidRDefault="005767CF" w:rsidP="005767CF">
      <w:pPr>
        <w:pStyle w:val="berschrift3"/>
        <w:pBdr>
          <w:top w:val="double" w:sz="4" w:space="1" w:color="auto"/>
          <w:left w:val="double" w:sz="4" w:space="1" w:color="auto"/>
          <w:bottom w:val="double" w:sz="4" w:space="1" w:color="auto"/>
          <w:right w:val="double" w:sz="4" w:space="1" w:color="auto"/>
        </w:pBdr>
        <w:jc w:val="center"/>
        <w:rPr>
          <w:sz w:val="28"/>
        </w:rPr>
      </w:pPr>
      <w:r>
        <w:rPr>
          <w:sz w:val="28"/>
          <w:u w:val="single"/>
        </w:rPr>
        <w:t>Niedrig-Zinsen sind nur ein Problem für Sparbuchanleger</w:t>
      </w:r>
    </w:p>
    <w:p w:rsidR="005767CF" w:rsidRPr="00995045" w:rsidRDefault="005767CF" w:rsidP="005767CF">
      <w:pPr>
        <w:pStyle w:val="berschrift3"/>
        <w:pBdr>
          <w:top w:val="double" w:sz="4" w:space="1" w:color="auto"/>
          <w:left w:val="double" w:sz="4" w:space="1" w:color="auto"/>
          <w:bottom w:val="double" w:sz="4" w:space="1" w:color="auto"/>
          <w:right w:val="double" w:sz="4" w:space="1" w:color="auto"/>
        </w:pBdr>
        <w:jc w:val="center"/>
        <w:rPr>
          <w:sz w:val="28"/>
          <w:szCs w:val="28"/>
          <w:u w:val="single"/>
        </w:rPr>
      </w:pPr>
      <w:r w:rsidRPr="00995045">
        <w:rPr>
          <w:sz w:val="28"/>
          <w:szCs w:val="28"/>
          <w:u w:val="single"/>
        </w:rPr>
        <w:t>So legen Sie richtig an:</w:t>
      </w:r>
    </w:p>
    <w:p w:rsidR="005767CF" w:rsidRDefault="005767CF" w:rsidP="005767CF"/>
    <w:p w:rsidR="005767CF" w:rsidRDefault="005767CF" w:rsidP="005767CF">
      <w:r>
        <w:rPr>
          <w:noProof/>
        </w:rPr>
        <w:drawing>
          <wp:anchor distT="0" distB="0" distL="114300" distR="114300" simplePos="0" relativeHeight="251715584" behindDoc="1" locked="0" layoutInCell="1" allowOverlap="1">
            <wp:simplePos x="0" y="0"/>
            <wp:positionH relativeFrom="column">
              <wp:posOffset>-479425</wp:posOffset>
            </wp:positionH>
            <wp:positionV relativeFrom="paragraph">
              <wp:posOffset>88900</wp:posOffset>
            </wp:positionV>
            <wp:extent cx="3392805" cy="1989455"/>
            <wp:effectExtent l="19050" t="0" r="17145" b="0"/>
            <wp:wrapTight wrapText="bothSides">
              <wp:wrapPolygon edited="0">
                <wp:start x="10430" y="0"/>
                <wp:lineTo x="8490" y="1655"/>
                <wp:lineTo x="-121" y="21510"/>
                <wp:lineTo x="21709" y="21510"/>
                <wp:lineTo x="21709" y="21304"/>
                <wp:lineTo x="14432" y="6619"/>
                <wp:lineTo x="13220" y="3102"/>
                <wp:lineTo x="12734" y="2068"/>
                <wp:lineTo x="11158" y="0"/>
                <wp:lineTo x="10430" y="0"/>
              </wp:wrapPolygon>
            </wp:wrapTight>
            <wp:docPr id="8"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5767CF" w:rsidRDefault="005767CF" w:rsidP="005767CF">
      <w:pPr>
        <w:tabs>
          <w:tab w:val="left" w:pos="5007"/>
        </w:tabs>
      </w:pPr>
      <w:r>
        <w:t xml:space="preserve">                          Langfristige Rücklage für Ruhestands-Planung. </w:t>
      </w:r>
    </w:p>
    <w:p w:rsidR="005767CF" w:rsidRDefault="005767CF" w:rsidP="005767CF">
      <w:pPr>
        <w:tabs>
          <w:tab w:val="left" w:pos="5007"/>
        </w:tabs>
      </w:pPr>
      <w:r>
        <w:t xml:space="preserve">Ruhestandsdepot mit hohem Sachwertanteil. </w:t>
      </w:r>
    </w:p>
    <w:p w:rsidR="005767CF" w:rsidRDefault="005767CF" w:rsidP="005767CF">
      <w:pPr>
        <w:tabs>
          <w:tab w:val="left" w:pos="5007"/>
        </w:tabs>
      </w:pPr>
      <w:r>
        <w:t>Renditechance: 6 – 7 % p.a. / Schwankung: erhöht</w:t>
      </w:r>
    </w:p>
    <w:p w:rsidR="005767CF" w:rsidRDefault="005767CF" w:rsidP="005767CF">
      <w:pPr>
        <w:tabs>
          <w:tab w:val="left" w:pos="5007"/>
        </w:tabs>
      </w:pPr>
    </w:p>
    <w:p w:rsidR="005767CF" w:rsidRDefault="005767CF" w:rsidP="005767CF">
      <w:pPr>
        <w:tabs>
          <w:tab w:val="left" w:pos="5007"/>
        </w:tabs>
      </w:pPr>
      <w:r>
        <w:t xml:space="preserve">Vermögensverwaltung für freie Gelder, die 4 Jahre und länger zur Verfügung stehen. </w:t>
      </w:r>
    </w:p>
    <w:p w:rsidR="005767CF" w:rsidRDefault="005767CF" w:rsidP="005767CF">
      <w:pPr>
        <w:tabs>
          <w:tab w:val="left" w:pos="5007"/>
        </w:tabs>
      </w:pPr>
      <w:r>
        <w:t>Renditechance: 2 - 3 %  p.a. / Schwankung: gering</w:t>
      </w:r>
    </w:p>
    <w:p w:rsidR="005767CF" w:rsidRDefault="005767CF" w:rsidP="005767CF">
      <w:pPr>
        <w:tabs>
          <w:tab w:val="left" w:pos="5007"/>
        </w:tabs>
        <w:ind w:left="4248"/>
      </w:pPr>
      <w:r>
        <w:rPr>
          <w:noProof/>
        </w:rPr>
        <w:drawing>
          <wp:anchor distT="0" distB="0" distL="114300" distR="114300" simplePos="0" relativeHeight="251716608" behindDoc="1" locked="0" layoutInCell="1" allowOverlap="1">
            <wp:simplePos x="0" y="0"/>
            <wp:positionH relativeFrom="column">
              <wp:posOffset>-2649855</wp:posOffset>
            </wp:positionH>
            <wp:positionV relativeFrom="paragraph">
              <wp:posOffset>88265</wp:posOffset>
            </wp:positionV>
            <wp:extent cx="534670" cy="533400"/>
            <wp:effectExtent l="19050" t="0" r="0" b="0"/>
            <wp:wrapTight wrapText="bothSides">
              <wp:wrapPolygon edited="0">
                <wp:start x="-770" y="0"/>
                <wp:lineTo x="-770" y="20829"/>
                <wp:lineTo x="21549" y="20829"/>
                <wp:lineTo x="21549" y="0"/>
                <wp:lineTo x="-770" y="0"/>
              </wp:wrapPolygon>
            </wp:wrapTight>
            <wp:docPr id="2" name="Bild 1" descr="C:\Users\Klaus Witzgall\Desktop\wiener-philharmoni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us Witzgall\Desktop\wiener-philharmoniker.jpg"/>
                    <pic:cNvPicPr>
                      <a:picLocks noChangeAspect="1" noChangeArrowheads="1"/>
                    </pic:cNvPicPr>
                  </pic:nvPicPr>
                  <pic:blipFill>
                    <a:blip r:embed="rId17" cstate="print"/>
                    <a:srcRect/>
                    <a:stretch>
                      <a:fillRect/>
                    </a:stretch>
                  </pic:blipFill>
                  <pic:spPr bwMode="auto">
                    <a:xfrm>
                      <a:off x="0" y="0"/>
                      <a:ext cx="534670" cy="533400"/>
                    </a:xfrm>
                    <a:prstGeom prst="rect">
                      <a:avLst/>
                    </a:prstGeom>
                    <a:noFill/>
                    <a:ln w="9525">
                      <a:noFill/>
                      <a:miter lim="800000"/>
                      <a:headEnd/>
                      <a:tailEnd/>
                    </a:ln>
                  </pic:spPr>
                </pic:pic>
              </a:graphicData>
            </a:graphic>
          </wp:anchor>
        </w:drawing>
      </w:r>
    </w:p>
    <w:p w:rsidR="005767CF" w:rsidRDefault="005767CF" w:rsidP="005767CF">
      <w:pPr>
        <w:tabs>
          <w:tab w:val="left" w:pos="5007"/>
        </w:tabs>
        <w:ind w:left="4248"/>
      </w:pPr>
      <w:r>
        <w:t xml:space="preserve">Grundvorsorge durch Tagesgeldkonto. </w:t>
      </w:r>
    </w:p>
    <w:p w:rsidR="005767CF" w:rsidRDefault="005767CF" w:rsidP="005767CF">
      <w:pPr>
        <w:tabs>
          <w:tab w:val="left" w:pos="5007"/>
        </w:tabs>
        <w:ind w:left="4248"/>
      </w:pPr>
      <w:r>
        <w:t xml:space="preserve">5 % des liquiden Vermögens können zur Sicherung auch als effektives Gold gehalten       </w:t>
      </w:r>
    </w:p>
    <w:p w:rsidR="005767CF" w:rsidRDefault="005767CF" w:rsidP="005767CF">
      <w:pPr>
        <w:tabs>
          <w:tab w:val="left" w:pos="5007"/>
        </w:tabs>
        <w:ind w:left="4248"/>
      </w:pPr>
      <w:r>
        <w:t xml:space="preserve">         werden. </w:t>
      </w:r>
    </w:p>
    <w:p w:rsidR="00EA5401" w:rsidRDefault="00EA5401" w:rsidP="00EA5401">
      <w:pPr>
        <w:jc w:val="center"/>
        <w:rPr>
          <w:b/>
          <w:u w:val="single"/>
        </w:rPr>
      </w:pPr>
      <w:r w:rsidRPr="00655953">
        <w:rPr>
          <w:color w:val="008000"/>
        </w:rPr>
        <w:t>------------------------------------------------------------------------------------</w:t>
      </w:r>
    </w:p>
    <w:p w:rsidR="00EA5401" w:rsidRDefault="00EA5401" w:rsidP="00EA5401">
      <w:pPr>
        <w:jc w:val="center"/>
        <w:rPr>
          <w:u w:val="single"/>
        </w:rPr>
      </w:pPr>
      <w:r>
        <w:rPr>
          <w:u w:val="single"/>
        </w:rPr>
        <w:t>Seite 2 von 4</w:t>
      </w:r>
    </w:p>
    <w:p w:rsidR="00891D9A" w:rsidRDefault="004E4AB2" w:rsidP="00367FF3">
      <w:pPr>
        <w:pStyle w:val="Default"/>
        <w:spacing w:after="259"/>
        <w:jc w:val="center"/>
        <w:rPr>
          <w:rFonts w:ascii="Times New Roman" w:hAnsi="Times New Roman" w:cs="Times New Roman"/>
          <w:b/>
          <w:color w:val="auto"/>
          <w:sz w:val="28"/>
          <w:szCs w:val="28"/>
          <w:u w:val="single"/>
        </w:rPr>
      </w:pPr>
      <w:r>
        <w:rPr>
          <w:rFonts w:ascii="Times New Roman" w:hAnsi="Times New Roman" w:cs="Times New Roman"/>
          <w:b/>
          <w:noProof/>
          <w:color w:val="auto"/>
          <w:sz w:val="28"/>
          <w:szCs w:val="28"/>
          <w:u w:val="single"/>
          <w:lang w:eastAsia="de-DE"/>
        </w:rPr>
        <w:lastRenderedPageBreak/>
        <w:drawing>
          <wp:anchor distT="0" distB="0" distL="114300" distR="114300" simplePos="0" relativeHeight="251706368" behindDoc="1" locked="0" layoutInCell="1" allowOverlap="1">
            <wp:simplePos x="0" y="0"/>
            <wp:positionH relativeFrom="column">
              <wp:posOffset>2982595</wp:posOffset>
            </wp:positionH>
            <wp:positionV relativeFrom="paragraph">
              <wp:posOffset>267970</wp:posOffset>
            </wp:positionV>
            <wp:extent cx="2961640" cy="1781810"/>
            <wp:effectExtent l="19050" t="0" r="0" b="0"/>
            <wp:wrapTight wrapText="bothSides">
              <wp:wrapPolygon edited="0">
                <wp:start x="-139" y="0"/>
                <wp:lineTo x="-139" y="19860"/>
                <wp:lineTo x="20146" y="19860"/>
                <wp:lineTo x="20146" y="0"/>
                <wp:lineTo x="-139" y="0"/>
              </wp:wrapPolygon>
            </wp:wrapTight>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961640" cy="1781810"/>
                    </a:xfrm>
                    <a:prstGeom prst="rect">
                      <a:avLst/>
                    </a:prstGeom>
                    <a:noFill/>
                    <a:ln w="9525">
                      <a:noFill/>
                      <a:miter lim="800000"/>
                      <a:headEnd/>
                      <a:tailEnd/>
                    </a:ln>
                  </pic:spPr>
                </pic:pic>
              </a:graphicData>
            </a:graphic>
          </wp:anchor>
        </w:drawing>
      </w:r>
      <w:r w:rsidR="00891D9A" w:rsidRPr="00172330">
        <w:rPr>
          <w:rFonts w:ascii="Times New Roman" w:hAnsi="Times New Roman" w:cs="Times New Roman"/>
          <w:b/>
          <w:color w:val="auto"/>
          <w:sz w:val="28"/>
          <w:szCs w:val="28"/>
          <w:u w:val="single"/>
        </w:rPr>
        <w:t>Ausblick 201</w:t>
      </w:r>
      <w:r w:rsidR="00172330" w:rsidRPr="00172330">
        <w:rPr>
          <w:rFonts w:ascii="Times New Roman" w:hAnsi="Times New Roman" w:cs="Times New Roman"/>
          <w:b/>
          <w:color w:val="auto"/>
          <w:sz w:val="28"/>
          <w:szCs w:val="28"/>
          <w:u w:val="single"/>
        </w:rPr>
        <w:t>8 – Mit Vorsicht weiter aufwärts</w:t>
      </w:r>
      <w:r w:rsidR="00891D9A" w:rsidRPr="00172330">
        <w:rPr>
          <w:rFonts w:ascii="Times New Roman" w:hAnsi="Times New Roman" w:cs="Times New Roman"/>
          <w:b/>
          <w:color w:val="auto"/>
          <w:sz w:val="28"/>
          <w:szCs w:val="28"/>
          <w:u w:val="single"/>
        </w:rPr>
        <w:t>:</w:t>
      </w:r>
    </w:p>
    <w:p w:rsidR="007B260D" w:rsidRDefault="004E4AB2" w:rsidP="004E4AB2">
      <w:pPr>
        <w:pStyle w:val="Default"/>
        <w:spacing w:after="259"/>
        <w:rPr>
          <w:rFonts w:ascii="Times New Roman" w:hAnsi="Times New Roman" w:cs="Times New Roman"/>
        </w:rPr>
      </w:pPr>
      <w:r>
        <w:rPr>
          <w:rFonts w:ascii="Times New Roman" w:hAnsi="Times New Roman" w:cs="Times New Roman"/>
        </w:rPr>
        <w:t xml:space="preserve">Zunächst möchten wir noch einmal etwas Theoretisches erläutern: Beim deutschen Aktienindex </w:t>
      </w:r>
      <w:r w:rsidRPr="00821253">
        <w:rPr>
          <w:rFonts w:ascii="Times New Roman" w:hAnsi="Times New Roman" w:cs="Times New Roman"/>
          <w:u w:val="single"/>
        </w:rPr>
        <w:t>DAX</w:t>
      </w:r>
      <w:r>
        <w:rPr>
          <w:rFonts w:ascii="Times New Roman" w:hAnsi="Times New Roman" w:cs="Times New Roman"/>
        </w:rPr>
        <w:t xml:space="preserve"> werden die Dividen</w:t>
      </w:r>
      <w:r w:rsidR="007B260D">
        <w:rPr>
          <w:rFonts w:ascii="Times New Roman" w:hAnsi="Times New Roman" w:cs="Times New Roman"/>
        </w:rPr>
        <w:t>d</w:t>
      </w:r>
      <w:r>
        <w:rPr>
          <w:rFonts w:ascii="Times New Roman" w:hAnsi="Times New Roman" w:cs="Times New Roman"/>
        </w:rPr>
        <w:t xml:space="preserve">en </w:t>
      </w:r>
      <w:r w:rsidR="007B260D" w:rsidRPr="00821253">
        <w:rPr>
          <w:rFonts w:ascii="Times New Roman" w:hAnsi="Times New Roman" w:cs="Times New Roman"/>
          <w:u w:val="single"/>
        </w:rPr>
        <w:t>mit eingerechnet</w:t>
      </w:r>
      <w:r w:rsidR="007B260D">
        <w:rPr>
          <w:rFonts w:ascii="Times New Roman" w:hAnsi="Times New Roman" w:cs="Times New Roman"/>
        </w:rPr>
        <w:t xml:space="preserve">. Es wird also so getan, als ob der Anleger Ausschüttungen </w:t>
      </w:r>
      <w:r w:rsidR="007B260D" w:rsidRPr="00821253">
        <w:rPr>
          <w:rFonts w:ascii="Times New Roman" w:hAnsi="Times New Roman" w:cs="Times New Roman"/>
          <w:u w:val="single"/>
        </w:rPr>
        <w:t>ohne Steuerabzug</w:t>
      </w:r>
      <w:r w:rsidR="007B260D">
        <w:rPr>
          <w:rFonts w:ascii="Times New Roman" w:hAnsi="Times New Roman" w:cs="Times New Roman"/>
        </w:rPr>
        <w:t xml:space="preserve"> erhält und diese dann unverzüglich wieder in die Aktie durch Nachkauf investiert. Dies ist in der Praxis so aber gar nicht möglich, da die Dividenden natürlich versteuert werden müssen. Daher hat in der Realität </w:t>
      </w:r>
      <w:r w:rsidR="00821253">
        <w:rPr>
          <w:rFonts w:ascii="Times New Roman" w:hAnsi="Times New Roman" w:cs="Times New Roman"/>
        </w:rPr>
        <w:t xml:space="preserve">so gut wie </w:t>
      </w:r>
      <w:r w:rsidR="007B260D" w:rsidRPr="00821253">
        <w:rPr>
          <w:rFonts w:ascii="Times New Roman" w:hAnsi="Times New Roman" w:cs="Times New Roman"/>
          <w:u w:val="single"/>
        </w:rPr>
        <w:t>kein Anleger die „theoretische“ Rendite</w:t>
      </w:r>
      <w:r w:rsidR="007B260D">
        <w:rPr>
          <w:rFonts w:ascii="Times New Roman" w:hAnsi="Times New Roman" w:cs="Times New Roman"/>
        </w:rPr>
        <w:t xml:space="preserve">, die im DAX Ergebnis ausgewiesen wird. Durch die derzeit hohen Dividenden (ca. 3 %) wird somit immer ein zu positiv verzerrtes Bild in der Berichterstattung dargelegt. Daher werden in allen </w:t>
      </w:r>
      <w:r w:rsidR="00821253">
        <w:rPr>
          <w:rFonts w:ascii="Times New Roman" w:hAnsi="Times New Roman" w:cs="Times New Roman"/>
        </w:rPr>
        <w:t xml:space="preserve">anderen Indices von Bedeutung, wie dem Dox Jones, S&amp;P500 usw. nur die Kursentwicklung ausgewiesen, </w:t>
      </w:r>
      <w:r w:rsidR="00821253" w:rsidRPr="00821253">
        <w:rPr>
          <w:rFonts w:ascii="Times New Roman" w:hAnsi="Times New Roman" w:cs="Times New Roman"/>
          <w:u w:val="single"/>
        </w:rPr>
        <w:t>ohne Dividenden</w:t>
      </w:r>
      <w:r w:rsidR="00821253">
        <w:rPr>
          <w:rFonts w:ascii="Times New Roman" w:hAnsi="Times New Roman" w:cs="Times New Roman"/>
        </w:rPr>
        <w:t>.</w:t>
      </w:r>
    </w:p>
    <w:p w:rsidR="00821253" w:rsidRDefault="00821253" w:rsidP="004E4AB2">
      <w:pPr>
        <w:pStyle w:val="Default"/>
        <w:spacing w:after="259"/>
        <w:rPr>
          <w:rFonts w:ascii="Times New Roman" w:hAnsi="Times New Roman" w:cs="Times New Roman"/>
        </w:rPr>
      </w:pPr>
      <w:r>
        <w:rPr>
          <w:rFonts w:ascii="Times New Roman" w:hAnsi="Times New Roman" w:cs="Times New Roman"/>
        </w:rPr>
        <w:t xml:space="preserve">Dies ist deshalb wichtig, weil durch das Darstellungssystem in Deutschland die Kurs-entwicklung </w:t>
      </w:r>
      <w:r w:rsidRPr="00821253">
        <w:rPr>
          <w:rFonts w:ascii="Times New Roman" w:hAnsi="Times New Roman" w:cs="Times New Roman"/>
          <w:u w:val="single"/>
        </w:rPr>
        <w:t>überdurchschnittlich gut aussieht</w:t>
      </w:r>
      <w:r>
        <w:rPr>
          <w:rFonts w:ascii="Times New Roman" w:hAnsi="Times New Roman" w:cs="Times New Roman"/>
        </w:rPr>
        <w:t xml:space="preserve"> und damit auch leicht eine Überbewertung oder Blase erscheinen lässt. Im obigen Chart sieht man den DAX seit 1988 (</w:t>
      </w:r>
      <w:r w:rsidRPr="00821253">
        <w:rPr>
          <w:rFonts w:ascii="Times New Roman" w:hAnsi="Times New Roman" w:cs="Times New Roman"/>
          <w:u w:val="single"/>
        </w:rPr>
        <w:t>der DAX in der heutigen Form hat übrigens heuer sein 30-jähriges Bestehen!</w:t>
      </w:r>
      <w:r>
        <w:rPr>
          <w:rFonts w:ascii="Times New Roman" w:hAnsi="Times New Roman" w:cs="Times New Roman"/>
        </w:rPr>
        <w:t>) mit und ohne Dividenden.</w:t>
      </w:r>
    </w:p>
    <w:p w:rsidR="00821253" w:rsidRPr="002D7477" w:rsidRDefault="002D7477" w:rsidP="002D7477">
      <w:pPr>
        <w:pStyle w:val="Default"/>
        <w:spacing w:after="259"/>
        <w:jc w:val="center"/>
        <w:rPr>
          <w:rFonts w:ascii="Times New Roman" w:hAnsi="Times New Roman" w:cs="Times New Roman"/>
          <w:b/>
          <w:sz w:val="28"/>
          <w:szCs w:val="28"/>
          <w:u w:val="single"/>
        </w:rPr>
      </w:pPr>
      <w:r w:rsidRPr="002D7477">
        <w:rPr>
          <w:rFonts w:ascii="Times New Roman" w:hAnsi="Times New Roman" w:cs="Times New Roman"/>
          <w:b/>
          <w:sz w:val="28"/>
          <w:szCs w:val="28"/>
          <w:u w:val="single"/>
        </w:rPr>
        <w:t>Erwartungen 2018</w:t>
      </w:r>
    </w:p>
    <w:p w:rsidR="002D7477" w:rsidRPr="002D7477" w:rsidRDefault="002D7477" w:rsidP="002D7477">
      <w:pPr>
        <w:autoSpaceDE w:val="0"/>
        <w:autoSpaceDN w:val="0"/>
        <w:adjustRightInd w:val="0"/>
        <w:rPr>
          <w:rFonts w:eastAsiaTheme="minorHAnsi"/>
          <w:u w:val="single"/>
          <w:lang w:eastAsia="en-US"/>
        </w:rPr>
      </w:pPr>
      <w:r w:rsidRPr="002D7477">
        <w:rPr>
          <w:rFonts w:eastAsiaTheme="minorHAnsi"/>
          <w:u w:val="single"/>
          <w:lang w:eastAsia="en-US"/>
        </w:rPr>
        <w:t>Wirtschaftswachstum:</w:t>
      </w:r>
    </w:p>
    <w:p w:rsidR="002D7477" w:rsidRPr="002D7477" w:rsidRDefault="002D7477" w:rsidP="002D7477">
      <w:pPr>
        <w:autoSpaceDE w:val="0"/>
        <w:autoSpaceDN w:val="0"/>
        <w:adjustRightInd w:val="0"/>
        <w:rPr>
          <w:rFonts w:eastAsiaTheme="minorHAnsi"/>
          <w:lang w:eastAsia="en-US"/>
        </w:rPr>
      </w:pPr>
      <w:r w:rsidRPr="002D7477">
        <w:rPr>
          <w:rFonts w:eastAsiaTheme="minorHAnsi"/>
          <w:lang w:eastAsia="en-US"/>
        </w:rPr>
        <w:t xml:space="preserve">- Weltwirtschaftswachstum vorerst gleich oder leicht über 2017er </w:t>
      </w:r>
      <w:r>
        <w:rPr>
          <w:rFonts w:eastAsiaTheme="minorHAnsi"/>
          <w:lang w:eastAsia="en-US"/>
        </w:rPr>
        <w:t>Niveau (ca. 3,7 Prozent)</w:t>
      </w:r>
    </w:p>
    <w:p w:rsidR="002D7477" w:rsidRPr="002D7477" w:rsidRDefault="002D7477" w:rsidP="002D7477">
      <w:pPr>
        <w:autoSpaceDE w:val="0"/>
        <w:autoSpaceDN w:val="0"/>
        <w:adjustRightInd w:val="0"/>
        <w:rPr>
          <w:rFonts w:eastAsiaTheme="minorHAnsi"/>
          <w:lang w:eastAsia="en-US"/>
        </w:rPr>
      </w:pPr>
      <w:r w:rsidRPr="002D7477">
        <w:rPr>
          <w:rFonts w:eastAsiaTheme="minorHAnsi"/>
          <w:lang w:eastAsia="en-US"/>
        </w:rPr>
        <w:t xml:space="preserve">- US-Steuerreform nur leicht wachstumsfördernd </w:t>
      </w:r>
    </w:p>
    <w:p w:rsidR="002D7477" w:rsidRPr="002D7477" w:rsidRDefault="002D7477" w:rsidP="002D7477">
      <w:pPr>
        <w:autoSpaceDE w:val="0"/>
        <w:autoSpaceDN w:val="0"/>
        <w:adjustRightInd w:val="0"/>
        <w:rPr>
          <w:rFonts w:eastAsiaTheme="minorHAnsi"/>
          <w:lang w:eastAsia="en-US"/>
        </w:rPr>
      </w:pPr>
      <w:r>
        <w:rPr>
          <w:rFonts w:eastAsiaTheme="minorHAnsi"/>
          <w:lang w:eastAsia="en-US"/>
        </w:rPr>
        <w:t xml:space="preserve">- </w:t>
      </w:r>
      <w:r w:rsidRPr="002D7477">
        <w:rPr>
          <w:rFonts w:eastAsiaTheme="minorHAnsi"/>
          <w:lang w:eastAsia="en-US"/>
        </w:rPr>
        <w:t>Rohstoff- und Energiepreise: weiter auf gegenwärtigem Niveau – ohne geop</w:t>
      </w:r>
      <w:r>
        <w:rPr>
          <w:rFonts w:eastAsiaTheme="minorHAnsi"/>
          <w:lang w:eastAsia="en-US"/>
        </w:rPr>
        <w:t>olitische</w:t>
      </w:r>
      <w:r w:rsidRPr="002D7477">
        <w:rPr>
          <w:rFonts w:eastAsiaTheme="minorHAnsi"/>
          <w:lang w:eastAsia="en-US"/>
        </w:rPr>
        <w:t xml:space="preserve"> </w:t>
      </w:r>
      <w:r>
        <w:rPr>
          <w:rFonts w:eastAsiaTheme="minorHAnsi"/>
          <w:lang w:eastAsia="en-US"/>
        </w:rPr>
        <w:t xml:space="preserve">  </w:t>
      </w:r>
      <w:r w:rsidRPr="002D7477">
        <w:rPr>
          <w:rFonts w:eastAsiaTheme="minorHAnsi"/>
          <w:lang w:eastAsia="en-US"/>
        </w:rPr>
        <w:t>Eskalation</w:t>
      </w:r>
      <w:r>
        <w:rPr>
          <w:rFonts w:eastAsiaTheme="minorHAnsi"/>
          <w:lang w:eastAsia="en-US"/>
        </w:rPr>
        <w:t>en</w:t>
      </w:r>
      <w:r w:rsidRPr="002D7477">
        <w:rPr>
          <w:rFonts w:eastAsiaTheme="minorHAnsi"/>
          <w:lang w:eastAsia="en-US"/>
        </w:rPr>
        <w:t xml:space="preserve"> </w:t>
      </w:r>
    </w:p>
    <w:p w:rsidR="002D7477" w:rsidRPr="002D7477" w:rsidRDefault="002D7477" w:rsidP="002D7477">
      <w:pPr>
        <w:autoSpaceDE w:val="0"/>
        <w:autoSpaceDN w:val="0"/>
        <w:adjustRightInd w:val="0"/>
        <w:rPr>
          <w:rFonts w:eastAsiaTheme="minorHAnsi"/>
          <w:lang w:eastAsia="en-US"/>
        </w:rPr>
      </w:pPr>
      <w:r>
        <w:rPr>
          <w:rFonts w:eastAsiaTheme="minorHAnsi"/>
          <w:lang w:eastAsia="en-US"/>
        </w:rPr>
        <w:t xml:space="preserve">- </w:t>
      </w:r>
      <w:r w:rsidRPr="002D7477">
        <w:rPr>
          <w:rFonts w:eastAsiaTheme="minorHAnsi"/>
          <w:lang w:eastAsia="en-US"/>
        </w:rPr>
        <w:t xml:space="preserve">Notenbankpolitik: US-Fed mit eingepreisten 3 Schritten, EZB mit auslaufendem </w:t>
      </w:r>
    </w:p>
    <w:p w:rsidR="002D7477" w:rsidRPr="002D7477" w:rsidRDefault="002D7477" w:rsidP="002D7477">
      <w:pPr>
        <w:autoSpaceDE w:val="0"/>
        <w:autoSpaceDN w:val="0"/>
        <w:adjustRightInd w:val="0"/>
        <w:rPr>
          <w:rFonts w:eastAsiaTheme="minorHAnsi"/>
          <w:lang w:eastAsia="en-US"/>
        </w:rPr>
      </w:pPr>
      <w:r w:rsidRPr="002D7477">
        <w:rPr>
          <w:rFonts w:eastAsiaTheme="minorHAnsi"/>
          <w:lang w:eastAsia="en-US"/>
        </w:rPr>
        <w:t xml:space="preserve">Ankaufprogramm </w:t>
      </w:r>
      <w:r>
        <w:rPr>
          <w:rFonts w:eastAsiaTheme="minorHAnsi"/>
          <w:lang w:eastAsia="en-US"/>
        </w:rPr>
        <w:t>für Anleihen</w:t>
      </w:r>
    </w:p>
    <w:p w:rsidR="002D7477" w:rsidRPr="002D7477" w:rsidRDefault="002D7477" w:rsidP="002D7477">
      <w:pPr>
        <w:autoSpaceDE w:val="0"/>
        <w:autoSpaceDN w:val="0"/>
        <w:adjustRightInd w:val="0"/>
        <w:rPr>
          <w:rFonts w:eastAsiaTheme="minorHAnsi"/>
          <w:lang w:eastAsia="en-US"/>
        </w:rPr>
      </w:pPr>
      <w:r>
        <w:rPr>
          <w:rFonts w:eastAsiaTheme="minorHAnsi"/>
          <w:lang w:eastAsia="en-US"/>
        </w:rPr>
        <w:t xml:space="preserve">- </w:t>
      </w:r>
      <w:r w:rsidRPr="002D7477">
        <w:rPr>
          <w:rFonts w:eastAsiaTheme="minorHAnsi"/>
          <w:lang w:eastAsia="en-US"/>
        </w:rPr>
        <w:t xml:space="preserve">Rentenmärkte: nur leicht anziehende Renditen </w:t>
      </w:r>
    </w:p>
    <w:p w:rsidR="002D7477" w:rsidRPr="002D7477" w:rsidRDefault="002D7477" w:rsidP="002D7477">
      <w:pPr>
        <w:autoSpaceDE w:val="0"/>
        <w:autoSpaceDN w:val="0"/>
        <w:adjustRightInd w:val="0"/>
        <w:rPr>
          <w:rFonts w:eastAsiaTheme="minorHAnsi"/>
          <w:lang w:eastAsia="en-US"/>
        </w:rPr>
      </w:pPr>
      <w:r>
        <w:rPr>
          <w:rFonts w:eastAsiaTheme="minorHAnsi"/>
          <w:lang w:eastAsia="en-US"/>
        </w:rPr>
        <w:t xml:space="preserve">- </w:t>
      </w:r>
      <w:r w:rsidRPr="002D7477">
        <w:rPr>
          <w:rFonts w:eastAsiaTheme="minorHAnsi"/>
          <w:lang w:eastAsia="en-US"/>
        </w:rPr>
        <w:t>Währung: langsame Stärkung des US-Dollars wegen US-Zinsschritte</w:t>
      </w:r>
      <w:r>
        <w:rPr>
          <w:rFonts w:eastAsiaTheme="minorHAnsi"/>
          <w:lang w:eastAsia="en-US"/>
        </w:rPr>
        <w:t>, zunächst noch schwach</w:t>
      </w:r>
      <w:r w:rsidRPr="002D7477">
        <w:rPr>
          <w:rFonts w:eastAsiaTheme="minorHAnsi"/>
          <w:lang w:eastAsia="en-US"/>
        </w:rPr>
        <w:t xml:space="preserve"> </w:t>
      </w:r>
    </w:p>
    <w:p w:rsidR="00C41634" w:rsidRDefault="00C41634" w:rsidP="002D7477">
      <w:pPr>
        <w:pStyle w:val="Default"/>
        <w:spacing w:after="259"/>
        <w:rPr>
          <w:rFonts w:ascii="Times New Roman" w:hAnsi="Times New Roman" w:cs="Times New Roman"/>
          <w:color w:val="auto"/>
        </w:rPr>
      </w:pPr>
      <w:r>
        <w:rPr>
          <w:rFonts w:ascii="Times New Roman" w:hAnsi="Times New Roman" w:cs="Times New Roman"/>
          <w:noProof/>
          <w:color w:val="auto"/>
          <w:lang w:eastAsia="de-DE"/>
        </w:rPr>
        <w:drawing>
          <wp:anchor distT="0" distB="0" distL="114300" distR="114300" simplePos="0" relativeHeight="251707392" behindDoc="1" locked="0" layoutInCell="1" allowOverlap="1">
            <wp:simplePos x="0" y="0"/>
            <wp:positionH relativeFrom="column">
              <wp:posOffset>-13970</wp:posOffset>
            </wp:positionH>
            <wp:positionV relativeFrom="paragraph">
              <wp:posOffset>229870</wp:posOffset>
            </wp:positionV>
            <wp:extent cx="920750" cy="554355"/>
            <wp:effectExtent l="19050" t="0" r="0" b="0"/>
            <wp:wrapTight wrapText="bothSides">
              <wp:wrapPolygon edited="0">
                <wp:start x="-447" y="0"/>
                <wp:lineTo x="-447" y="20784"/>
                <wp:lineTo x="21451" y="20784"/>
                <wp:lineTo x="21451" y="0"/>
                <wp:lineTo x="-447" y="0"/>
              </wp:wrapPolygon>
            </wp:wrapTight>
            <wp:docPr id="2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920750" cy="554355"/>
                    </a:xfrm>
                    <a:prstGeom prst="rect">
                      <a:avLst/>
                    </a:prstGeom>
                    <a:noFill/>
                    <a:ln w="9525">
                      <a:noFill/>
                      <a:miter lim="800000"/>
                      <a:headEnd/>
                      <a:tailEnd/>
                    </a:ln>
                  </pic:spPr>
                </pic:pic>
              </a:graphicData>
            </a:graphic>
          </wp:anchor>
        </w:drawing>
      </w:r>
      <w:r>
        <w:rPr>
          <w:rFonts w:ascii="Times New Roman" w:hAnsi="Times New Roman" w:cs="Times New Roman"/>
          <w:color w:val="auto"/>
        </w:rPr>
        <w:t xml:space="preserve">- </w:t>
      </w:r>
      <w:r w:rsidR="002D7477" w:rsidRPr="002D7477">
        <w:rPr>
          <w:rFonts w:ascii="Times New Roman" w:hAnsi="Times New Roman" w:cs="Times New Roman"/>
          <w:color w:val="auto"/>
        </w:rPr>
        <w:t xml:space="preserve">Aktienmärkte: </w:t>
      </w:r>
      <w:r>
        <w:rPr>
          <w:rFonts w:ascii="Times New Roman" w:hAnsi="Times New Roman" w:cs="Times New Roman"/>
          <w:color w:val="auto"/>
        </w:rPr>
        <w:t>Z</w:t>
      </w:r>
      <w:r w:rsidR="002D7477" w:rsidRPr="002D7477">
        <w:rPr>
          <w:rFonts w:ascii="Times New Roman" w:hAnsi="Times New Roman" w:cs="Times New Roman"/>
          <w:color w:val="auto"/>
        </w:rPr>
        <w:t>unächst weiterer Anstieg</w:t>
      </w:r>
    </w:p>
    <w:p w:rsidR="00C41634" w:rsidRDefault="00F06013" w:rsidP="002D7477">
      <w:pPr>
        <w:pStyle w:val="Default"/>
        <w:spacing w:after="259"/>
        <w:rPr>
          <w:rFonts w:ascii="Times New Roman" w:hAnsi="Times New Roman" w:cs="Times New Roman"/>
          <w:color w:val="auto"/>
        </w:rPr>
      </w:pPr>
      <w:r>
        <w:rPr>
          <w:rFonts w:ascii="Times New Roman" w:hAnsi="Times New Roman" w:cs="Times New Roman"/>
          <w:noProof/>
          <w:color w:val="auto"/>
          <w:lang w:eastAsia="de-DE"/>
        </w:rPr>
        <w:drawing>
          <wp:anchor distT="0" distB="0" distL="114300" distR="114300" simplePos="0" relativeHeight="251708416" behindDoc="1" locked="0" layoutInCell="1" allowOverlap="1">
            <wp:simplePos x="0" y="0"/>
            <wp:positionH relativeFrom="column">
              <wp:posOffset>3675380</wp:posOffset>
            </wp:positionH>
            <wp:positionV relativeFrom="paragraph">
              <wp:posOffset>533400</wp:posOffset>
            </wp:positionV>
            <wp:extent cx="875665" cy="562610"/>
            <wp:effectExtent l="19050" t="0" r="635" b="0"/>
            <wp:wrapTight wrapText="bothSides">
              <wp:wrapPolygon edited="0">
                <wp:start x="-470" y="0"/>
                <wp:lineTo x="-470" y="21210"/>
                <wp:lineTo x="21616" y="21210"/>
                <wp:lineTo x="21616" y="0"/>
                <wp:lineTo x="-470" y="0"/>
              </wp:wrapPolygon>
            </wp:wrapTight>
            <wp:docPr id="31"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875665" cy="562610"/>
                    </a:xfrm>
                    <a:prstGeom prst="rect">
                      <a:avLst/>
                    </a:prstGeom>
                    <a:noFill/>
                    <a:ln w="9525">
                      <a:noFill/>
                      <a:miter lim="800000"/>
                      <a:headEnd/>
                      <a:tailEnd/>
                    </a:ln>
                  </pic:spPr>
                </pic:pic>
              </a:graphicData>
            </a:graphic>
          </wp:anchor>
        </w:drawing>
      </w:r>
      <w:r w:rsidR="00C41634">
        <w:rPr>
          <w:rFonts w:ascii="Times New Roman" w:hAnsi="Times New Roman" w:cs="Times New Roman"/>
          <w:color w:val="auto"/>
        </w:rPr>
        <w:t xml:space="preserve">In Deutschland wird die Regierungsbildung das beherrschende Thema im ersten Quartal sein. Sogar Neuwahlen scheinen noch möglich. </w:t>
      </w:r>
    </w:p>
    <w:p w:rsidR="00C41634" w:rsidRDefault="00F06013" w:rsidP="002D7477">
      <w:pPr>
        <w:pStyle w:val="Default"/>
        <w:spacing w:after="259"/>
        <w:rPr>
          <w:rFonts w:ascii="Times New Roman" w:hAnsi="Times New Roman" w:cs="Times New Roman"/>
          <w:color w:val="auto"/>
        </w:rPr>
      </w:pPr>
      <w:r>
        <w:rPr>
          <w:rFonts w:ascii="Times New Roman" w:hAnsi="Times New Roman" w:cs="Times New Roman"/>
          <w:noProof/>
          <w:color w:val="auto"/>
          <w:lang w:eastAsia="de-DE"/>
        </w:rPr>
        <w:drawing>
          <wp:anchor distT="0" distB="0" distL="114300" distR="114300" simplePos="0" relativeHeight="251709440" behindDoc="1" locked="0" layoutInCell="1" allowOverlap="1">
            <wp:simplePos x="0" y="0"/>
            <wp:positionH relativeFrom="column">
              <wp:posOffset>20320</wp:posOffset>
            </wp:positionH>
            <wp:positionV relativeFrom="paragraph">
              <wp:posOffset>513715</wp:posOffset>
            </wp:positionV>
            <wp:extent cx="1076960" cy="651510"/>
            <wp:effectExtent l="19050" t="0" r="8890" b="0"/>
            <wp:wrapTight wrapText="bothSides">
              <wp:wrapPolygon edited="0">
                <wp:start x="1910" y="0"/>
                <wp:lineTo x="0" y="4421"/>
                <wp:lineTo x="-382" y="20842"/>
                <wp:lineTo x="21778" y="20842"/>
                <wp:lineTo x="21778" y="6947"/>
                <wp:lineTo x="21396" y="4421"/>
                <wp:lineTo x="19868" y="0"/>
                <wp:lineTo x="1910" y="0"/>
              </wp:wrapPolygon>
            </wp:wrapTight>
            <wp:docPr id="33" name="Bild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defined"/>
                    <pic:cNvPicPr>
                      <a:picLocks noChangeAspect="1" noChangeArrowheads="1"/>
                    </pic:cNvPicPr>
                  </pic:nvPicPr>
                  <pic:blipFill>
                    <a:blip r:embed="rId21" cstate="print"/>
                    <a:srcRect/>
                    <a:stretch>
                      <a:fillRect/>
                    </a:stretch>
                  </pic:blipFill>
                  <pic:spPr bwMode="auto">
                    <a:xfrm>
                      <a:off x="0" y="0"/>
                      <a:ext cx="1076960" cy="651510"/>
                    </a:xfrm>
                    <a:prstGeom prst="rect">
                      <a:avLst/>
                    </a:prstGeom>
                    <a:noFill/>
                    <a:ln w="9525">
                      <a:noFill/>
                      <a:miter lim="800000"/>
                      <a:headEnd/>
                      <a:tailEnd/>
                    </a:ln>
                  </pic:spPr>
                </pic:pic>
              </a:graphicData>
            </a:graphic>
          </wp:anchor>
        </w:drawing>
      </w:r>
      <w:r w:rsidR="00C41634">
        <w:rPr>
          <w:rFonts w:ascii="Times New Roman" w:hAnsi="Times New Roman" w:cs="Times New Roman"/>
          <w:color w:val="auto"/>
        </w:rPr>
        <w:t>In Rußland finden am 18. März Präsiden</w:t>
      </w:r>
      <w:r w:rsidR="00EF3F34">
        <w:rPr>
          <w:rFonts w:ascii="Times New Roman" w:hAnsi="Times New Roman" w:cs="Times New Roman"/>
          <w:color w:val="auto"/>
        </w:rPr>
        <w:t>t</w:t>
      </w:r>
      <w:r w:rsidR="00C41634">
        <w:rPr>
          <w:rFonts w:ascii="Times New Roman" w:hAnsi="Times New Roman" w:cs="Times New Roman"/>
          <w:color w:val="auto"/>
        </w:rPr>
        <w:t xml:space="preserve">schaftswahlen statt. </w:t>
      </w:r>
      <w:r>
        <w:rPr>
          <w:rFonts w:ascii="Times New Roman" w:hAnsi="Times New Roman" w:cs="Times New Roman"/>
          <w:color w:val="auto"/>
        </w:rPr>
        <w:t xml:space="preserve">             </w:t>
      </w:r>
      <w:r w:rsidR="00EF3F34">
        <w:rPr>
          <w:rFonts w:ascii="Times New Roman" w:hAnsi="Times New Roman" w:cs="Times New Roman"/>
          <w:color w:val="auto"/>
        </w:rPr>
        <w:t xml:space="preserve"> </w:t>
      </w:r>
      <w:r w:rsidR="00C41634">
        <w:rPr>
          <w:rFonts w:ascii="Times New Roman" w:hAnsi="Times New Roman" w:cs="Times New Roman"/>
          <w:color w:val="auto"/>
        </w:rPr>
        <w:t xml:space="preserve">Alles Andere, als ein Sieg Putins wäre eine starke Überraschung. </w:t>
      </w:r>
    </w:p>
    <w:p w:rsidR="00F06013" w:rsidRDefault="00F06013" w:rsidP="00F06013">
      <w:pPr>
        <w:pStyle w:val="Default"/>
        <w:rPr>
          <w:rFonts w:ascii="Times New Roman" w:hAnsi="Times New Roman" w:cs="Times New Roman"/>
        </w:rPr>
      </w:pPr>
      <w:r>
        <w:rPr>
          <w:rFonts w:ascii="Times New Roman" w:hAnsi="Times New Roman" w:cs="Times New Roman"/>
        </w:rPr>
        <w:t xml:space="preserve">Für uns Bayern ist natürlich die Landtagswahl </w:t>
      </w:r>
    </w:p>
    <w:p w:rsidR="00F06013" w:rsidRDefault="00F06013" w:rsidP="002D7477">
      <w:pPr>
        <w:pStyle w:val="Default"/>
        <w:rPr>
          <w:rFonts w:ascii="Times New Roman" w:hAnsi="Times New Roman" w:cs="Times New Roman"/>
        </w:rPr>
      </w:pPr>
      <w:r>
        <w:rPr>
          <w:rFonts w:ascii="Times New Roman" w:hAnsi="Times New Roman" w:cs="Times New Roman"/>
        </w:rPr>
        <w:t xml:space="preserve">am 14. Oktober ein wichtiger Termin. </w:t>
      </w:r>
    </w:p>
    <w:p w:rsidR="00F06013" w:rsidRDefault="00F06013" w:rsidP="00F06013">
      <w:pPr>
        <w:pStyle w:val="Default"/>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710464" behindDoc="1" locked="0" layoutInCell="1" allowOverlap="1">
            <wp:simplePos x="0" y="0"/>
            <wp:positionH relativeFrom="column">
              <wp:posOffset>3316605</wp:posOffset>
            </wp:positionH>
            <wp:positionV relativeFrom="paragraph">
              <wp:posOffset>134620</wp:posOffset>
            </wp:positionV>
            <wp:extent cx="1132840" cy="753110"/>
            <wp:effectExtent l="19050" t="0" r="0" b="0"/>
            <wp:wrapTight wrapText="bothSides">
              <wp:wrapPolygon edited="0">
                <wp:start x="-363" y="0"/>
                <wp:lineTo x="-363" y="21309"/>
                <wp:lineTo x="21430" y="21309"/>
                <wp:lineTo x="21430" y="0"/>
                <wp:lineTo x="-363" y="0"/>
              </wp:wrapPolygon>
            </wp:wrapTight>
            <wp:docPr id="34" name="Bild 19" descr="Datei:Flag of Italy.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tei:Flag of Italy.svg">
                      <a:hlinkClick r:id="rId22"/>
                    </pic:cNvPr>
                    <pic:cNvPicPr>
                      <a:picLocks noChangeAspect="1" noChangeArrowheads="1"/>
                    </pic:cNvPicPr>
                  </pic:nvPicPr>
                  <pic:blipFill>
                    <a:blip r:embed="rId23" cstate="print"/>
                    <a:srcRect/>
                    <a:stretch>
                      <a:fillRect/>
                    </a:stretch>
                  </pic:blipFill>
                  <pic:spPr bwMode="auto">
                    <a:xfrm>
                      <a:off x="0" y="0"/>
                      <a:ext cx="1132840" cy="753110"/>
                    </a:xfrm>
                    <a:prstGeom prst="rect">
                      <a:avLst/>
                    </a:prstGeom>
                    <a:noFill/>
                    <a:ln w="9525">
                      <a:noFill/>
                      <a:miter lim="800000"/>
                      <a:headEnd/>
                      <a:tailEnd/>
                    </a:ln>
                  </pic:spPr>
                </pic:pic>
              </a:graphicData>
            </a:graphic>
          </wp:anchor>
        </w:drawing>
      </w:r>
    </w:p>
    <w:p w:rsidR="00F06013" w:rsidRDefault="00EF3F34" w:rsidP="00F06013">
      <w:pPr>
        <w:pStyle w:val="Default"/>
        <w:rPr>
          <w:rFonts w:ascii="Times New Roman" w:hAnsi="Times New Roman" w:cs="Times New Roman"/>
        </w:rPr>
      </w:pPr>
      <w:r>
        <w:rPr>
          <w:rFonts w:ascii="Times New Roman" w:hAnsi="Times New Roman" w:cs="Times New Roman"/>
        </w:rPr>
        <w:t>D</w:t>
      </w:r>
      <w:r w:rsidR="00F06013">
        <w:rPr>
          <w:rFonts w:ascii="Times New Roman" w:hAnsi="Times New Roman" w:cs="Times New Roman"/>
        </w:rPr>
        <w:t>ie Parlamentswahl in Italien am 4. März</w:t>
      </w:r>
      <w:r>
        <w:rPr>
          <w:rFonts w:ascii="Times New Roman" w:hAnsi="Times New Roman" w:cs="Times New Roman"/>
        </w:rPr>
        <w:t xml:space="preserve"> wird</w:t>
      </w:r>
      <w:r w:rsidR="00F06013">
        <w:rPr>
          <w:rFonts w:ascii="Times New Roman" w:hAnsi="Times New Roman" w:cs="Times New Roman"/>
        </w:rPr>
        <w:t xml:space="preserve"> mit großer Spannung an den Märkten verfolgt. Italien ist nach wie vor ein großes Sorgenkind in der EU. Die Staatsverschuldung konnte nur durch die Politik der EZB im Rahmen gehalten werden. Reformansätze könnten durch diese Neuwahl wieder zunichte gemacht werden. Italien als größtes der Südländer könnte eine neue Schuldenkrise im Euro auslösen. Damit klar ein Risikofaktor.</w:t>
      </w:r>
    </w:p>
    <w:p w:rsidR="00F06013" w:rsidRPr="00F06013" w:rsidRDefault="00F06013" w:rsidP="00F06013">
      <w:pPr>
        <w:pStyle w:val="Default"/>
        <w:jc w:val="center"/>
        <w:rPr>
          <w:rFonts w:ascii="Times New Roman" w:hAnsi="Times New Roman" w:cs="Times New Roman"/>
        </w:rPr>
      </w:pPr>
      <w:r w:rsidRPr="00F06013">
        <w:rPr>
          <w:rFonts w:ascii="Times New Roman" w:hAnsi="Times New Roman" w:cs="Times New Roman"/>
          <w:u w:val="single"/>
        </w:rPr>
        <w:t>Seite 3 von 4</w:t>
      </w:r>
    </w:p>
    <w:p w:rsidR="00FE3FFE" w:rsidRPr="00FE3FFE" w:rsidRDefault="00FB0EFF" w:rsidP="00FE3FFE">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6"/>
          <w:szCs w:val="36"/>
        </w:rPr>
      </w:pPr>
      <w:r w:rsidRPr="00FE3FFE">
        <w:rPr>
          <w:rFonts w:ascii="Times New Roman" w:hAnsi="Times New Roman" w:cs="Times New Roman"/>
          <w:b/>
          <w:sz w:val="36"/>
          <w:szCs w:val="36"/>
          <w:u w:val="single"/>
        </w:rPr>
        <w:lastRenderedPageBreak/>
        <w:t>Fazit:</w:t>
      </w:r>
    </w:p>
    <w:p w:rsidR="00FE3FFE"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Derzeit erscheint die Strategie, den positiven Börsentrend weiter zu nutzen, </w:t>
      </w:r>
    </w:p>
    <w:p w:rsidR="00F06013"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am sinnvollsten. Dies sollte aber nicht zum Leichtsinn verführen. </w:t>
      </w:r>
    </w:p>
    <w:p w:rsidR="00FB0EFF"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FE3FFE">
        <w:rPr>
          <w:rFonts w:ascii="Times New Roman" w:hAnsi="Times New Roman" w:cs="Times New Roman"/>
          <w:b/>
          <w:u w:val="single"/>
        </w:rPr>
        <w:t>Daher:</w:t>
      </w:r>
      <w:r>
        <w:rPr>
          <w:rFonts w:ascii="Times New Roman" w:hAnsi="Times New Roman" w:cs="Times New Roman"/>
          <w:b/>
        </w:rPr>
        <w:t xml:space="preserve"> So lange Zinsen und Inflation niedrig sind, ist ein Markteinbruch nicht zu sehen. Andererseits steigen die Risiken durchaus an.</w:t>
      </w:r>
    </w:p>
    <w:p w:rsidR="00FE3FFE"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noProof/>
          <w:lang w:eastAsia="de-DE"/>
        </w:rPr>
        <w:drawing>
          <wp:anchor distT="0" distB="0" distL="114300" distR="114300" simplePos="0" relativeHeight="251705344" behindDoc="0" locked="0" layoutInCell="1" allowOverlap="1">
            <wp:simplePos x="0" y="0"/>
            <wp:positionH relativeFrom="column">
              <wp:posOffset>5095875</wp:posOffset>
            </wp:positionH>
            <wp:positionV relativeFrom="paragraph">
              <wp:posOffset>297180</wp:posOffset>
            </wp:positionV>
            <wp:extent cx="611505" cy="854710"/>
            <wp:effectExtent l="19050" t="0" r="0" b="0"/>
            <wp:wrapSquare wrapText="bothSides"/>
            <wp:docPr id="20" name="Bild 47" descr="https://encrypted-tbn1.gstatic.com/images?q=tbn:ANd9GcR2Fxu786N7aovWxXefTWDMfD3oghPU99wsCbfiEwkFaApR2QnenQ">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encrypted-tbn1.gstatic.com/images?q=tbn:ANd9GcR2Fxu786N7aovWxXefTWDMfD3oghPU99wsCbfiEwkFaApR2QnenQ">
                      <a:hlinkClick r:id="rId24"/>
                    </pic:cNvPr>
                    <pic:cNvPicPr>
                      <a:picLocks noChangeAspect="1" noChangeArrowheads="1"/>
                    </pic:cNvPicPr>
                  </pic:nvPicPr>
                  <pic:blipFill>
                    <a:blip r:embed="rId25" cstate="print"/>
                    <a:srcRect/>
                    <a:stretch>
                      <a:fillRect/>
                    </a:stretch>
                  </pic:blipFill>
                  <pic:spPr bwMode="auto">
                    <a:xfrm>
                      <a:off x="0" y="0"/>
                      <a:ext cx="611505" cy="854710"/>
                    </a:xfrm>
                    <a:prstGeom prst="rect">
                      <a:avLst/>
                    </a:prstGeom>
                    <a:noFill/>
                    <a:ln w="9525">
                      <a:noFill/>
                      <a:miter lim="800000"/>
                      <a:headEnd/>
                      <a:tailEnd/>
                    </a:ln>
                  </pic:spPr>
                </pic:pic>
              </a:graphicData>
            </a:graphic>
          </wp:anchor>
        </w:drawing>
      </w:r>
      <w:r>
        <w:rPr>
          <w:rFonts w:ascii="Times New Roman" w:hAnsi="Times New Roman" w:cs="Times New Roman"/>
          <w:b/>
        </w:rPr>
        <w:t xml:space="preserve">Also wachsam bleiben, </w:t>
      </w:r>
      <w:r w:rsidR="00901B38">
        <w:rPr>
          <w:rFonts w:ascii="Times New Roman" w:hAnsi="Times New Roman" w:cs="Times New Roman"/>
          <w:b/>
        </w:rPr>
        <w:t xml:space="preserve">die </w:t>
      </w:r>
      <w:r>
        <w:rPr>
          <w:rFonts w:ascii="Times New Roman" w:hAnsi="Times New Roman" w:cs="Times New Roman"/>
          <w:b/>
        </w:rPr>
        <w:t xml:space="preserve">Marktentwicklung verfolgen und im Zweifelsfall die Aktienquote auch einmal reduzieren. </w:t>
      </w:r>
    </w:p>
    <w:p w:rsidR="00FB0EFF"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 xml:space="preserve">Dies kann dann in den Depots durch einen problemlosen Tausch in die defensive Vermögensverwaltung (Aktienfondsanteil </w:t>
      </w:r>
      <w:r w:rsidR="00B12E63">
        <w:rPr>
          <w:rFonts w:ascii="Times New Roman" w:hAnsi="Times New Roman" w:cs="Times New Roman"/>
          <w:b/>
        </w:rPr>
        <w:t xml:space="preserve">nur </w:t>
      </w:r>
      <w:r>
        <w:rPr>
          <w:rFonts w:ascii="Times New Roman" w:hAnsi="Times New Roman" w:cs="Times New Roman"/>
          <w:b/>
        </w:rPr>
        <w:t xml:space="preserve">30 %) erfolgen. </w:t>
      </w:r>
    </w:p>
    <w:p w:rsidR="00FB0EFF"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FE3FFE">
        <w:rPr>
          <w:rFonts w:ascii="Times New Roman" w:hAnsi="Times New Roman" w:cs="Times New Roman"/>
          <w:b/>
          <w:u w:val="single"/>
        </w:rPr>
        <w:t>Aber wie gesagt:</w:t>
      </w:r>
      <w:r>
        <w:rPr>
          <w:rFonts w:ascii="Times New Roman" w:hAnsi="Times New Roman" w:cs="Times New Roman"/>
          <w:b/>
        </w:rPr>
        <w:t xml:space="preserve"> Noch ist es unseres Erachtens nicht so weit. </w:t>
      </w:r>
    </w:p>
    <w:p w:rsidR="00FB0EFF" w:rsidRPr="00FB0EFF" w:rsidRDefault="00FB0EFF" w:rsidP="00FB0EFF">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b/>
        </w:rPr>
      </w:pPr>
      <w:r>
        <w:rPr>
          <w:rFonts w:ascii="Times New Roman" w:hAnsi="Times New Roman" w:cs="Times New Roman"/>
          <w:b/>
        </w:rPr>
        <w:t>Derzeit sehen wir uns mit der aktuellen Depotzusammenstellung gut für das nächste Quartal gerüstet.</w:t>
      </w:r>
    </w:p>
    <w:p w:rsidR="00F06013" w:rsidRDefault="00BA5D5D" w:rsidP="002D7477">
      <w:pPr>
        <w:pStyle w:val="Default"/>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712512" behindDoc="1" locked="0" layoutInCell="1" allowOverlap="1">
            <wp:simplePos x="0" y="0"/>
            <wp:positionH relativeFrom="column">
              <wp:posOffset>-13970</wp:posOffset>
            </wp:positionH>
            <wp:positionV relativeFrom="paragraph">
              <wp:posOffset>198120</wp:posOffset>
            </wp:positionV>
            <wp:extent cx="1068070" cy="706755"/>
            <wp:effectExtent l="19050" t="0" r="0" b="0"/>
            <wp:wrapTight wrapText="bothSides">
              <wp:wrapPolygon edited="0">
                <wp:start x="-385" y="0"/>
                <wp:lineTo x="-385" y="20960"/>
                <wp:lineTo x="21574" y="20960"/>
                <wp:lineTo x="21574" y="0"/>
                <wp:lineTo x="-385" y="0"/>
              </wp:wrapPolygon>
            </wp:wrapTight>
            <wp:docPr id="35" name="Bild 22" descr="Bildergebnis für europaflagg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ldergebnis für europaflagge">
                      <a:hlinkClick r:id="rId26" tgtFrame="&quot;_blank&quot;"/>
                    </pic:cNvPr>
                    <pic:cNvPicPr>
                      <a:picLocks noChangeAspect="1" noChangeArrowheads="1"/>
                    </pic:cNvPicPr>
                  </pic:nvPicPr>
                  <pic:blipFill>
                    <a:blip r:embed="rId27" cstate="print"/>
                    <a:srcRect/>
                    <a:stretch>
                      <a:fillRect/>
                    </a:stretch>
                  </pic:blipFill>
                  <pic:spPr bwMode="auto">
                    <a:xfrm>
                      <a:off x="0" y="0"/>
                      <a:ext cx="1068070" cy="706755"/>
                    </a:xfrm>
                    <a:prstGeom prst="rect">
                      <a:avLst/>
                    </a:prstGeom>
                    <a:noFill/>
                    <a:ln w="9525">
                      <a:noFill/>
                      <a:miter lim="800000"/>
                      <a:headEnd/>
                      <a:tailEnd/>
                    </a:ln>
                  </pic:spPr>
                </pic:pic>
              </a:graphicData>
            </a:graphic>
          </wp:anchor>
        </w:drawing>
      </w:r>
      <w:r>
        <w:rPr>
          <w:rFonts w:ascii="Times New Roman" w:hAnsi="Times New Roman" w:cs="Times New Roman"/>
          <w:noProof/>
          <w:lang w:eastAsia="de-DE"/>
        </w:rPr>
        <w:drawing>
          <wp:anchor distT="0" distB="0" distL="114300" distR="114300" simplePos="0" relativeHeight="251711488" behindDoc="1" locked="0" layoutInCell="1" allowOverlap="1">
            <wp:simplePos x="0" y="0"/>
            <wp:positionH relativeFrom="column">
              <wp:posOffset>3938905</wp:posOffset>
            </wp:positionH>
            <wp:positionV relativeFrom="paragraph">
              <wp:posOffset>151765</wp:posOffset>
            </wp:positionV>
            <wp:extent cx="1768475" cy="668655"/>
            <wp:effectExtent l="19050" t="0" r="3175" b="0"/>
            <wp:wrapTight wrapText="bothSides">
              <wp:wrapPolygon edited="0">
                <wp:start x="21833" y="21600"/>
                <wp:lineTo x="21833" y="677"/>
                <wp:lineTo x="-39" y="677"/>
                <wp:lineTo x="-39" y="21600"/>
                <wp:lineTo x="21833" y="21600"/>
              </wp:wrapPolygon>
            </wp:wrapTight>
            <wp:docPr id="37" name="Bild 25" descr="Bildergebnis für reichsta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ildergebnis für reichstag">
                      <a:hlinkClick r:id="rId28" tgtFrame="&quot;_blank&quot;"/>
                    </pic:cNvPr>
                    <pic:cNvPicPr>
                      <a:picLocks noChangeAspect="1" noChangeArrowheads="1"/>
                    </pic:cNvPicPr>
                  </pic:nvPicPr>
                  <pic:blipFill>
                    <a:blip r:embed="rId29" cstate="print"/>
                    <a:srcRect/>
                    <a:stretch>
                      <a:fillRect/>
                    </a:stretch>
                  </pic:blipFill>
                  <pic:spPr bwMode="auto">
                    <a:xfrm rot="10800000" flipV="1">
                      <a:off x="0" y="0"/>
                      <a:ext cx="1768475" cy="668655"/>
                    </a:xfrm>
                    <a:prstGeom prst="rect">
                      <a:avLst/>
                    </a:prstGeom>
                    <a:noFill/>
                    <a:ln w="9525">
                      <a:noFill/>
                      <a:miter lim="800000"/>
                      <a:headEnd/>
                      <a:tailEnd/>
                    </a:ln>
                  </pic:spPr>
                </pic:pic>
              </a:graphicData>
            </a:graphic>
          </wp:anchor>
        </w:drawing>
      </w:r>
    </w:p>
    <w:p w:rsidR="00BA5D5D" w:rsidRDefault="00BA5D5D" w:rsidP="00BA5D5D">
      <w:pPr>
        <w:pStyle w:val="Default"/>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b/>
          <w:sz w:val="28"/>
          <w:szCs w:val="28"/>
          <w:u w:val="single"/>
        </w:rPr>
        <w:t>Fondsbesteuerung neu geregelt</w:t>
      </w:r>
      <w:r w:rsidR="00F06013">
        <w:rPr>
          <w:rFonts w:ascii="Times New Roman" w:hAnsi="Times New Roman" w:cs="Times New Roman"/>
        </w:rPr>
        <w:t xml:space="preserve"> </w:t>
      </w:r>
    </w:p>
    <w:p w:rsidR="00974B1C" w:rsidRPr="00BA5D5D" w:rsidRDefault="00BA5D5D" w:rsidP="00BA5D5D">
      <w:pPr>
        <w:pStyle w:val="Default"/>
        <w:rPr>
          <w:rFonts w:ascii="Times New Roman" w:hAnsi="Times New Roman" w:cs="Times New Roman"/>
          <w:b/>
          <w:sz w:val="28"/>
          <w:szCs w:val="28"/>
          <w:u w:val="single"/>
        </w:rPr>
      </w:pPr>
      <w:r>
        <w:rPr>
          <w:rFonts w:ascii="Times New Roman" w:hAnsi="Times New Roman" w:cs="Times New Roman"/>
        </w:rPr>
        <w:t xml:space="preserve">Wenn diese beiden Institutionen aufein-ander treffen, kommen meist </w:t>
      </w:r>
      <w:r w:rsidRPr="00FE3FFE">
        <w:rPr>
          <w:rFonts w:ascii="Times New Roman" w:hAnsi="Times New Roman" w:cs="Times New Roman"/>
          <w:u w:val="single"/>
        </w:rPr>
        <w:t>Bürokratie-monster</w:t>
      </w:r>
      <w:r>
        <w:rPr>
          <w:rFonts w:ascii="Times New Roman" w:hAnsi="Times New Roman" w:cs="Times New Roman"/>
        </w:rPr>
        <w:t xml:space="preserve"> zustande. </w:t>
      </w:r>
      <w:r w:rsidR="00B12E63">
        <w:rPr>
          <w:rFonts w:ascii="Times New Roman" w:hAnsi="Times New Roman" w:cs="Times New Roman"/>
        </w:rPr>
        <w:t>Im Hinblick</w:t>
      </w:r>
      <w:r w:rsidR="00901B38">
        <w:rPr>
          <w:rFonts w:ascii="Times New Roman" w:hAnsi="Times New Roman" w:cs="Times New Roman"/>
        </w:rPr>
        <w:t xml:space="preserve"> auf die Investmentsteuerreform kam es aber auch zu </w:t>
      </w:r>
      <w:r w:rsidR="00901B38" w:rsidRPr="00FE3FFE">
        <w:rPr>
          <w:rFonts w:ascii="Times New Roman" w:hAnsi="Times New Roman" w:cs="Times New Roman"/>
          <w:u w:val="single"/>
        </w:rPr>
        <w:t>Verbesserungen</w:t>
      </w:r>
      <w:r w:rsidR="00901B38">
        <w:rPr>
          <w:rFonts w:ascii="Times New Roman" w:hAnsi="Times New Roman" w:cs="Times New Roman"/>
        </w:rPr>
        <w:t xml:space="preserve">. So wurde erstmals eine einheitliche Systematik für alle Investmentfonds geschaffen. Die Unterschiede zwischen Inlands- u. Auslandsfonds entfallen. Es wurde auf Fondsseite ein Vorababzug eingeführt, der später beim Anleger angerechnet wird. Insofern tatsächlich </w:t>
      </w:r>
      <w:r w:rsidR="00901B38" w:rsidRPr="008608A5">
        <w:rPr>
          <w:rFonts w:ascii="Times New Roman" w:hAnsi="Times New Roman" w:cs="Times New Roman"/>
          <w:u w:val="single"/>
        </w:rPr>
        <w:t>keine Schlechterstellung</w:t>
      </w:r>
      <w:r w:rsidR="00901B38">
        <w:rPr>
          <w:rFonts w:ascii="Times New Roman" w:hAnsi="Times New Roman" w:cs="Times New Roman"/>
        </w:rPr>
        <w:t xml:space="preserve"> des Kunden. Auch für die Altanteile, die bis 2008 angelegt wurden, gibt es einen </w:t>
      </w:r>
      <w:r w:rsidR="00901B38" w:rsidRPr="008608A5">
        <w:rPr>
          <w:rFonts w:ascii="Times New Roman" w:hAnsi="Times New Roman" w:cs="Times New Roman"/>
          <w:u w:val="single"/>
        </w:rPr>
        <w:t>hohen Freibetrag</w:t>
      </w:r>
      <w:r w:rsidR="00901B38">
        <w:rPr>
          <w:rFonts w:ascii="Times New Roman" w:hAnsi="Times New Roman" w:cs="Times New Roman"/>
        </w:rPr>
        <w:t xml:space="preserve">. Leider gibt es auch neue Bürokratie: So bei den Beratungsprotokollen bis hin zur künftigen Aufzeichnung von Telefongesprächen. Wenn Sie Post von der Depotbank bekommen wg. einer Risikoeinstufung, können Sie diese </w:t>
      </w:r>
      <w:r w:rsidR="00901B38" w:rsidRPr="008608A5">
        <w:rPr>
          <w:rFonts w:ascii="Times New Roman" w:hAnsi="Times New Roman" w:cs="Times New Roman"/>
          <w:u w:val="single"/>
        </w:rPr>
        <w:t>unterschrieben einfach an uns senden.</w:t>
      </w:r>
      <w:r w:rsidR="00901B38">
        <w:rPr>
          <w:rFonts w:ascii="Times New Roman" w:hAnsi="Times New Roman" w:cs="Times New Roman"/>
        </w:rPr>
        <w:t xml:space="preserve"> Wir haben alle Daten vorliegen und ergänzen diese für Sie mit den von Ihnen hinterlegten Beratungsklassen.</w:t>
      </w:r>
    </w:p>
    <w:p w:rsidR="00901B38" w:rsidRDefault="008608A5" w:rsidP="008608A5">
      <w:pPr>
        <w:pStyle w:val="Default"/>
        <w:jc w:val="center"/>
        <w:rPr>
          <w:rFonts w:ascii="Times New Roman" w:hAnsi="Times New Roman" w:cs="Times New Roman"/>
          <w:b/>
          <w:sz w:val="36"/>
          <w:szCs w:val="36"/>
          <w:u w:val="single"/>
        </w:rPr>
      </w:pPr>
      <w:r>
        <w:rPr>
          <w:rFonts w:ascii="Times New Roman" w:hAnsi="Times New Roman" w:cs="Times New Roman"/>
          <w:b/>
          <w:sz w:val="36"/>
          <w:szCs w:val="36"/>
          <w:u w:val="single"/>
        </w:rPr>
        <w:t>Bitcoin</w:t>
      </w:r>
    </w:p>
    <w:p w:rsidR="00BC0448" w:rsidRDefault="0099243C" w:rsidP="00BC0448">
      <w:pPr>
        <w:pStyle w:val="Default"/>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713536" behindDoc="1" locked="0" layoutInCell="1" allowOverlap="1">
            <wp:simplePos x="0" y="0"/>
            <wp:positionH relativeFrom="column">
              <wp:posOffset>20320</wp:posOffset>
            </wp:positionH>
            <wp:positionV relativeFrom="paragraph">
              <wp:posOffset>29845</wp:posOffset>
            </wp:positionV>
            <wp:extent cx="1187450" cy="1163955"/>
            <wp:effectExtent l="19050" t="0" r="0" b="0"/>
            <wp:wrapTight wrapText="bothSides">
              <wp:wrapPolygon edited="0">
                <wp:start x="-347" y="0"/>
                <wp:lineTo x="-347" y="21211"/>
                <wp:lineTo x="21484" y="21211"/>
                <wp:lineTo x="21484" y="0"/>
                <wp:lineTo x="-347" y="0"/>
              </wp:wrapPolygon>
            </wp:wrapTight>
            <wp:docPr id="3" name="Bild 4" descr="C:\Users\Klaus Witzgall\AppData\Local\Microsoft\Windows\INetCache\Content.Word\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aus Witzgall\AppData\Local\Microsoft\Windows\INetCache\Content.Word\images[2].jpg"/>
                    <pic:cNvPicPr>
                      <a:picLocks noChangeAspect="1" noChangeArrowheads="1"/>
                    </pic:cNvPicPr>
                  </pic:nvPicPr>
                  <pic:blipFill>
                    <a:blip r:embed="rId30"/>
                    <a:srcRect/>
                    <a:stretch>
                      <a:fillRect/>
                    </a:stretch>
                  </pic:blipFill>
                  <pic:spPr bwMode="auto">
                    <a:xfrm>
                      <a:off x="0" y="0"/>
                      <a:ext cx="1187450" cy="1163955"/>
                    </a:xfrm>
                    <a:prstGeom prst="rect">
                      <a:avLst/>
                    </a:prstGeom>
                    <a:noFill/>
                    <a:ln w="9525">
                      <a:noFill/>
                      <a:miter lim="800000"/>
                      <a:headEnd/>
                      <a:tailEnd/>
                    </a:ln>
                  </pic:spPr>
                </pic:pic>
              </a:graphicData>
            </a:graphic>
          </wp:anchor>
        </w:drawing>
      </w:r>
      <w:r w:rsidR="00BC0448">
        <w:rPr>
          <w:rFonts w:ascii="Times New Roman" w:hAnsi="Times New Roman" w:cs="Times New Roman"/>
        </w:rPr>
        <w:t xml:space="preserve">Da in letzter Zeit Bitcoin’s in aller Munde sind, möchten wir hier etwas </w:t>
      </w:r>
      <w:r w:rsidR="00BC0448" w:rsidRPr="0099243C">
        <w:rPr>
          <w:rFonts w:ascii="Times New Roman" w:hAnsi="Times New Roman" w:cs="Times New Roman"/>
          <w:u w:val="single"/>
        </w:rPr>
        <w:t>Licht ins Dunkel</w:t>
      </w:r>
      <w:r w:rsidR="00BC0448">
        <w:rPr>
          <w:rFonts w:ascii="Times New Roman" w:hAnsi="Times New Roman" w:cs="Times New Roman"/>
        </w:rPr>
        <w:t xml:space="preserve"> bringen. </w:t>
      </w:r>
    </w:p>
    <w:p w:rsidR="0007769B" w:rsidRPr="00BC0448" w:rsidRDefault="0007769B" w:rsidP="00BC0448">
      <w:pPr>
        <w:pStyle w:val="Default"/>
        <w:rPr>
          <w:rFonts w:ascii="Times New Roman" w:hAnsi="Times New Roman" w:cs="Times New Roman"/>
        </w:rPr>
      </w:pPr>
      <w:r>
        <w:rPr>
          <w:rFonts w:ascii="Times New Roman" w:hAnsi="Times New Roman" w:cs="Times New Roman"/>
        </w:rPr>
        <w:t xml:space="preserve">Hierbei handelt es sich um eine </w:t>
      </w:r>
      <w:r w:rsidRPr="0099243C">
        <w:rPr>
          <w:rFonts w:ascii="Times New Roman" w:hAnsi="Times New Roman" w:cs="Times New Roman"/>
          <w:u w:val="single"/>
        </w:rPr>
        <w:t>digitale Währung</w:t>
      </w:r>
      <w:r>
        <w:rPr>
          <w:rFonts w:ascii="Times New Roman" w:hAnsi="Times New Roman" w:cs="Times New Roman"/>
        </w:rPr>
        <w:t xml:space="preserve">, die weder Scheine noch Münzen kennt. Sie besteht aus am Computer berechneten, verschlüsselten Datenblöcken. Der Name ist ein Kunstwort aus „Bit“ (kleinste Speichereinheit am Computer) und „Coin“ (englisch für Münze). Um einen solchen Bitcoin zu berechnen, braucht man extrem starkte Rechner; die Berechnung dauert unter Umständen Monate! </w:t>
      </w:r>
      <w:r w:rsidR="00BE1C84">
        <w:rPr>
          <w:rFonts w:ascii="Times New Roman" w:hAnsi="Times New Roman" w:cs="Times New Roman"/>
        </w:rPr>
        <w:t>Man kann diese im Internet kaufen und in einer Art Depot (</w:t>
      </w:r>
      <w:r w:rsidR="00BE1C84" w:rsidRPr="0099243C">
        <w:rPr>
          <w:rFonts w:ascii="Times New Roman" w:hAnsi="Times New Roman" w:cs="Times New Roman"/>
          <w:u w:val="single"/>
        </w:rPr>
        <w:t>sog. Wallets = Brieftasche</w:t>
      </w:r>
      <w:r w:rsidR="00BE1C84">
        <w:rPr>
          <w:rFonts w:ascii="Times New Roman" w:hAnsi="Times New Roman" w:cs="Times New Roman"/>
        </w:rPr>
        <w:t>) verwahren lassen.</w:t>
      </w:r>
    </w:p>
    <w:p w:rsidR="006E6C8F" w:rsidRDefault="00BE1C84" w:rsidP="0099243C">
      <w:pPr>
        <w:pStyle w:val="Default"/>
        <w:spacing w:after="259"/>
      </w:pPr>
      <w:r>
        <w:rPr>
          <w:rFonts w:ascii="Times New Roman" w:hAnsi="Times New Roman" w:cs="Times New Roman"/>
        </w:rPr>
        <w:t xml:space="preserve">Da Bitcoins </w:t>
      </w:r>
      <w:r w:rsidRPr="0099243C">
        <w:rPr>
          <w:rFonts w:ascii="Times New Roman" w:hAnsi="Times New Roman" w:cs="Times New Roman"/>
          <w:u w:val="single"/>
        </w:rPr>
        <w:t>nicht staatlich</w:t>
      </w:r>
      <w:r>
        <w:rPr>
          <w:rFonts w:ascii="Times New Roman" w:hAnsi="Times New Roman" w:cs="Times New Roman"/>
        </w:rPr>
        <w:t xml:space="preserve"> beaufsichtigt werden, gibt es auch </w:t>
      </w:r>
      <w:r w:rsidRPr="0099243C">
        <w:rPr>
          <w:rFonts w:ascii="Times New Roman" w:hAnsi="Times New Roman" w:cs="Times New Roman"/>
          <w:u w:val="single"/>
        </w:rPr>
        <w:t>keinerlei Kontrolle</w:t>
      </w:r>
      <w:r>
        <w:rPr>
          <w:rFonts w:ascii="Times New Roman" w:hAnsi="Times New Roman" w:cs="Times New Roman"/>
        </w:rPr>
        <w:t xml:space="preserve">. Im Gegensatz zu richtigem Geld steht kein Staat oder Institution dahinter. Die Kurse sind reine Spekulationswerte. Der innere Wert ist praktisch </w:t>
      </w:r>
      <w:r w:rsidRPr="0099243C">
        <w:rPr>
          <w:rFonts w:ascii="Times New Roman" w:hAnsi="Times New Roman" w:cs="Times New Roman"/>
          <w:u w:val="single"/>
        </w:rPr>
        <w:t>Null</w:t>
      </w:r>
      <w:r>
        <w:rPr>
          <w:rFonts w:ascii="Times New Roman" w:hAnsi="Times New Roman" w:cs="Times New Roman"/>
        </w:rPr>
        <w:t xml:space="preserve">. Wir raten daher von solchen Zockereien ab, auch wenn derzeit die Kurse in utopische Höhen getrieben wurden. Vor allem nutzen Kriminelle und zwielichtige Akteure diese „Währung“ wegen der absoluten </w:t>
      </w:r>
      <w:r w:rsidRPr="0099243C">
        <w:rPr>
          <w:rFonts w:ascii="Times New Roman" w:hAnsi="Times New Roman" w:cs="Times New Roman"/>
          <w:u w:val="single"/>
        </w:rPr>
        <w:t>Anonymität</w:t>
      </w:r>
      <w:r>
        <w:rPr>
          <w:rFonts w:ascii="Times New Roman" w:hAnsi="Times New Roman" w:cs="Times New Roman"/>
        </w:rPr>
        <w:t xml:space="preserve">. Sollte der Bitcoin irgendwann der realen Wirtschaft gefährlich werden, wird sicher der </w:t>
      </w:r>
      <w:r w:rsidRPr="0099243C">
        <w:rPr>
          <w:rFonts w:ascii="Times New Roman" w:hAnsi="Times New Roman" w:cs="Times New Roman"/>
          <w:u w:val="single"/>
        </w:rPr>
        <w:t>Staat eingreifen</w:t>
      </w:r>
      <w:r>
        <w:rPr>
          <w:rFonts w:ascii="Times New Roman" w:hAnsi="Times New Roman" w:cs="Times New Roman"/>
        </w:rPr>
        <w:t xml:space="preserve">. </w:t>
      </w:r>
      <w:r w:rsidR="00974506">
        <w:rPr>
          <w:noProof/>
        </w:rPr>
        <w:t xml:space="preserve">            </w:t>
      </w:r>
      <w:r w:rsidR="0027137D">
        <w:rPr>
          <w:noProof/>
        </w:rPr>
        <w:t xml:space="preserve">                                 </w:t>
      </w:r>
    </w:p>
    <w:p w:rsidR="0075077B" w:rsidRPr="00655953" w:rsidRDefault="0075077B" w:rsidP="0075077B">
      <w:r w:rsidRPr="00655953">
        <w:t>Mit freundlichen Grüßen</w:t>
      </w:r>
      <w:r w:rsidR="006E6C8F">
        <w:t xml:space="preserve"> aus Stadtsteinach</w:t>
      </w:r>
    </w:p>
    <w:p w:rsidR="000C7C98" w:rsidRDefault="000C7C98" w:rsidP="0027137D">
      <w:pPr>
        <w:rPr>
          <w:b/>
          <w:bCs/>
        </w:rPr>
      </w:pPr>
    </w:p>
    <w:p w:rsidR="0027137D" w:rsidRDefault="0027137D" w:rsidP="0027137D">
      <w:pPr>
        <w:pStyle w:val="berschrift4"/>
        <w:tabs>
          <w:tab w:val="clear" w:pos="1530"/>
        </w:tabs>
        <w:rPr>
          <w:b/>
          <w:bCs/>
          <w:i w:val="0"/>
          <w:iCs w:val="0"/>
        </w:rPr>
      </w:pPr>
    </w:p>
    <w:p w:rsidR="0027137D" w:rsidRDefault="0027137D" w:rsidP="0027137D">
      <w:pPr>
        <w:pStyle w:val="berschrift4"/>
        <w:tabs>
          <w:tab w:val="clear" w:pos="1530"/>
        </w:tabs>
        <w:rPr>
          <w:b/>
          <w:bCs/>
          <w:i w:val="0"/>
          <w:iCs w:val="0"/>
        </w:rPr>
      </w:pPr>
    </w:p>
    <w:p w:rsidR="0027137D" w:rsidRDefault="0027137D" w:rsidP="0027137D">
      <w:pPr>
        <w:pStyle w:val="berschrift4"/>
        <w:tabs>
          <w:tab w:val="clear" w:pos="1530"/>
        </w:tabs>
        <w:rPr>
          <w:b/>
          <w:bCs/>
          <w:i w:val="0"/>
          <w:iCs w:val="0"/>
        </w:rPr>
      </w:pPr>
    </w:p>
    <w:p w:rsidR="0075077B" w:rsidRPr="00D50C21" w:rsidRDefault="0027137D" w:rsidP="0027137D">
      <w:pPr>
        <w:pStyle w:val="berschrift4"/>
        <w:tabs>
          <w:tab w:val="clear" w:pos="1530"/>
        </w:tabs>
        <w:rPr>
          <w:i w:val="0"/>
        </w:rPr>
      </w:pPr>
      <w:r w:rsidRPr="0027137D">
        <w:t>Klaus Witzgall</w:t>
      </w:r>
      <w:r>
        <w:t xml:space="preserve">                                               </w:t>
      </w:r>
      <w:r w:rsidR="001200D8" w:rsidRPr="00D50C21">
        <w:rPr>
          <w:i w:val="0"/>
          <w:u w:val="single"/>
        </w:rPr>
        <w:t>Seite 4 von 4</w:t>
      </w:r>
    </w:p>
    <w:sectPr w:rsidR="0075077B" w:rsidRPr="00D50C21" w:rsidSect="00952E3E">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FFF" w:rsidRDefault="00935FFF" w:rsidP="00EA5401">
      <w:r>
        <w:separator/>
      </w:r>
    </w:p>
  </w:endnote>
  <w:endnote w:type="continuationSeparator" w:id="1">
    <w:p w:rsidR="00935FFF" w:rsidRDefault="00935FFF" w:rsidP="00EA54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FFF" w:rsidRDefault="00935FFF" w:rsidP="00EA5401">
      <w:r>
        <w:separator/>
      </w:r>
    </w:p>
  </w:footnote>
  <w:footnote w:type="continuationSeparator" w:id="1">
    <w:p w:rsidR="00935FFF" w:rsidRDefault="00935FFF" w:rsidP="00EA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5B3"/>
    <w:multiLevelType w:val="hybridMultilevel"/>
    <w:tmpl w:val="98D2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512119"/>
    <w:multiLevelType w:val="hybridMultilevel"/>
    <w:tmpl w:val="01209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305F87"/>
    <w:multiLevelType w:val="hybridMultilevel"/>
    <w:tmpl w:val="006EC68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3020707F"/>
    <w:multiLevelType w:val="hybridMultilevel"/>
    <w:tmpl w:val="16F40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091CE4"/>
    <w:multiLevelType w:val="hybridMultilevel"/>
    <w:tmpl w:val="2724D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AD762F7"/>
    <w:multiLevelType w:val="hybridMultilevel"/>
    <w:tmpl w:val="75B66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8FD2F1C"/>
    <w:multiLevelType w:val="hybridMultilevel"/>
    <w:tmpl w:val="E8BCF762"/>
    <w:lvl w:ilvl="0" w:tplc="04070001">
      <w:start w:val="1"/>
      <w:numFmt w:val="bullet"/>
      <w:lvlText w:val=""/>
      <w:lvlJc w:val="left"/>
      <w:pPr>
        <w:ind w:left="3900" w:hanging="360"/>
      </w:pPr>
      <w:rPr>
        <w:rFonts w:ascii="Symbol" w:hAnsi="Symbo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7">
    <w:nsid w:val="5CB41FCB"/>
    <w:multiLevelType w:val="hybridMultilevel"/>
    <w:tmpl w:val="B69AA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docVars>
    <w:docVar w:name="E-Porto::GUID" w:val="{934d12e0-648a-4a11-b2a2-0c6b75f4eadb}"/>
  </w:docVars>
  <w:rsids>
    <w:rsidRoot w:val="0075077B"/>
    <w:rsid w:val="00000B94"/>
    <w:rsid w:val="00002028"/>
    <w:rsid w:val="00002948"/>
    <w:rsid w:val="00016BAD"/>
    <w:rsid w:val="00022DD9"/>
    <w:rsid w:val="00023EEA"/>
    <w:rsid w:val="00023EF4"/>
    <w:rsid w:val="00052198"/>
    <w:rsid w:val="00053423"/>
    <w:rsid w:val="00054771"/>
    <w:rsid w:val="00054EEA"/>
    <w:rsid w:val="00054F8B"/>
    <w:rsid w:val="00057234"/>
    <w:rsid w:val="00065115"/>
    <w:rsid w:val="00071F84"/>
    <w:rsid w:val="000724EA"/>
    <w:rsid w:val="00074851"/>
    <w:rsid w:val="0007687F"/>
    <w:rsid w:val="0007769B"/>
    <w:rsid w:val="00082EA8"/>
    <w:rsid w:val="00084C73"/>
    <w:rsid w:val="00085882"/>
    <w:rsid w:val="00086087"/>
    <w:rsid w:val="000870F0"/>
    <w:rsid w:val="00091983"/>
    <w:rsid w:val="00091D4C"/>
    <w:rsid w:val="000937A5"/>
    <w:rsid w:val="0009763D"/>
    <w:rsid w:val="00097C66"/>
    <w:rsid w:val="000A3D6E"/>
    <w:rsid w:val="000A6FF4"/>
    <w:rsid w:val="000A7D45"/>
    <w:rsid w:val="000B097C"/>
    <w:rsid w:val="000C10DE"/>
    <w:rsid w:val="000C134E"/>
    <w:rsid w:val="000C1E75"/>
    <w:rsid w:val="000C5D7B"/>
    <w:rsid w:val="000C7C98"/>
    <w:rsid w:val="000D0518"/>
    <w:rsid w:val="000D5FB7"/>
    <w:rsid w:val="000E5311"/>
    <w:rsid w:val="000E5BAC"/>
    <w:rsid w:val="000E6402"/>
    <w:rsid w:val="000E7403"/>
    <w:rsid w:val="000F0C1F"/>
    <w:rsid w:val="000F7AF0"/>
    <w:rsid w:val="00103202"/>
    <w:rsid w:val="00104C2B"/>
    <w:rsid w:val="0011046D"/>
    <w:rsid w:val="001106C4"/>
    <w:rsid w:val="001200D8"/>
    <w:rsid w:val="00121CC3"/>
    <w:rsid w:val="00123254"/>
    <w:rsid w:val="0012611B"/>
    <w:rsid w:val="00127E83"/>
    <w:rsid w:val="00132E06"/>
    <w:rsid w:val="00134054"/>
    <w:rsid w:val="00136A22"/>
    <w:rsid w:val="0014133C"/>
    <w:rsid w:val="001422BC"/>
    <w:rsid w:val="001423F6"/>
    <w:rsid w:val="00144155"/>
    <w:rsid w:val="00144A11"/>
    <w:rsid w:val="00153CB8"/>
    <w:rsid w:val="00156017"/>
    <w:rsid w:val="00157629"/>
    <w:rsid w:val="0015764E"/>
    <w:rsid w:val="001626D6"/>
    <w:rsid w:val="001626EC"/>
    <w:rsid w:val="00162B11"/>
    <w:rsid w:val="00163DBE"/>
    <w:rsid w:val="00172330"/>
    <w:rsid w:val="0017576F"/>
    <w:rsid w:val="00176326"/>
    <w:rsid w:val="00182629"/>
    <w:rsid w:val="0018293C"/>
    <w:rsid w:val="00183440"/>
    <w:rsid w:val="00187C31"/>
    <w:rsid w:val="00192883"/>
    <w:rsid w:val="00197782"/>
    <w:rsid w:val="001A4DF7"/>
    <w:rsid w:val="001A6FB4"/>
    <w:rsid w:val="001A7C12"/>
    <w:rsid w:val="001B08B1"/>
    <w:rsid w:val="001B11DE"/>
    <w:rsid w:val="001B415A"/>
    <w:rsid w:val="001C4131"/>
    <w:rsid w:val="001C440B"/>
    <w:rsid w:val="001C5822"/>
    <w:rsid w:val="001D1450"/>
    <w:rsid w:val="001D1EA0"/>
    <w:rsid w:val="001D3B67"/>
    <w:rsid w:val="001D756E"/>
    <w:rsid w:val="001E1DA4"/>
    <w:rsid w:val="001E4015"/>
    <w:rsid w:val="001E4F8B"/>
    <w:rsid w:val="001E5B3C"/>
    <w:rsid w:val="001E6709"/>
    <w:rsid w:val="001E6F96"/>
    <w:rsid w:val="001F01BD"/>
    <w:rsid w:val="001F2467"/>
    <w:rsid w:val="001F6F56"/>
    <w:rsid w:val="001F710C"/>
    <w:rsid w:val="0020044A"/>
    <w:rsid w:val="00201445"/>
    <w:rsid w:val="002052F8"/>
    <w:rsid w:val="00207FED"/>
    <w:rsid w:val="00213489"/>
    <w:rsid w:val="002145A5"/>
    <w:rsid w:val="002157D7"/>
    <w:rsid w:val="0021607C"/>
    <w:rsid w:val="00221191"/>
    <w:rsid w:val="00221C7E"/>
    <w:rsid w:val="00222250"/>
    <w:rsid w:val="00222274"/>
    <w:rsid w:val="0022312C"/>
    <w:rsid w:val="00224FF4"/>
    <w:rsid w:val="0022678D"/>
    <w:rsid w:val="00233D2B"/>
    <w:rsid w:val="0023489E"/>
    <w:rsid w:val="002360E4"/>
    <w:rsid w:val="00241733"/>
    <w:rsid w:val="00242090"/>
    <w:rsid w:val="002441DC"/>
    <w:rsid w:val="00245A74"/>
    <w:rsid w:val="002554FF"/>
    <w:rsid w:val="00255BB2"/>
    <w:rsid w:val="002575F8"/>
    <w:rsid w:val="00266C53"/>
    <w:rsid w:val="0027137D"/>
    <w:rsid w:val="00271F01"/>
    <w:rsid w:val="002731A1"/>
    <w:rsid w:val="00274B2B"/>
    <w:rsid w:val="00281608"/>
    <w:rsid w:val="002825BB"/>
    <w:rsid w:val="00282675"/>
    <w:rsid w:val="00284455"/>
    <w:rsid w:val="00286711"/>
    <w:rsid w:val="002935A5"/>
    <w:rsid w:val="002A142A"/>
    <w:rsid w:val="002A3FDA"/>
    <w:rsid w:val="002A754C"/>
    <w:rsid w:val="002B54D2"/>
    <w:rsid w:val="002B635D"/>
    <w:rsid w:val="002B6B71"/>
    <w:rsid w:val="002C0255"/>
    <w:rsid w:val="002C0BAF"/>
    <w:rsid w:val="002C15AA"/>
    <w:rsid w:val="002C2A39"/>
    <w:rsid w:val="002C4E5C"/>
    <w:rsid w:val="002C58B8"/>
    <w:rsid w:val="002D19D4"/>
    <w:rsid w:val="002D4712"/>
    <w:rsid w:val="002D620E"/>
    <w:rsid w:val="002D7477"/>
    <w:rsid w:val="002E7666"/>
    <w:rsid w:val="00304FA7"/>
    <w:rsid w:val="00320038"/>
    <w:rsid w:val="0032221C"/>
    <w:rsid w:val="00323FD2"/>
    <w:rsid w:val="003264D1"/>
    <w:rsid w:val="003300D6"/>
    <w:rsid w:val="00332A97"/>
    <w:rsid w:val="00337326"/>
    <w:rsid w:val="00340DC5"/>
    <w:rsid w:val="00343444"/>
    <w:rsid w:val="003449AD"/>
    <w:rsid w:val="00351CA8"/>
    <w:rsid w:val="00355392"/>
    <w:rsid w:val="0035669C"/>
    <w:rsid w:val="003578F4"/>
    <w:rsid w:val="00360BBE"/>
    <w:rsid w:val="00367FF3"/>
    <w:rsid w:val="003702C2"/>
    <w:rsid w:val="003754CC"/>
    <w:rsid w:val="003770E6"/>
    <w:rsid w:val="00382D31"/>
    <w:rsid w:val="003848C1"/>
    <w:rsid w:val="003874F3"/>
    <w:rsid w:val="0039008B"/>
    <w:rsid w:val="0039198E"/>
    <w:rsid w:val="00392195"/>
    <w:rsid w:val="00392A2D"/>
    <w:rsid w:val="003A0DB9"/>
    <w:rsid w:val="003A1DD1"/>
    <w:rsid w:val="003A5BFC"/>
    <w:rsid w:val="003A62D5"/>
    <w:rsid w:val="003A7533"/>
    <w:rsid w:val="003B5DB6"/>
    <w:rsid w:val="003B7D35"/>
    <w:rsid w:val="003C1080"/>
    <w:rsid w:val="003C4E84"/>
    <w:rsid w:val="003C6314"/>
    <w:rsid w:val="003D6D13"/>
    <w:rsid w:val="003E1C52"/>
    <w:rsid w:val="003E4466"/>
    <w:rsid w:val="003F21B2"/>
    <w:rsid w:val="003F315B"/>
    <w:rsid w:val="003F5094"/>
    <w:rsid w:val="00405E31"/>
    <w:rsid w:val="00417333"/>
    <w:rsid w:val="00423528"/>
    <w:rsid w:val="0042538A"/>
    <w:rsid w:val="00427043"/>
    <w:rsid w:val="00432786"/>
    <w:rsid w:val="00434BCC"/>
    <w:rsid w:val="00434BF4"/>
    <w:rsid w:val="00440664"/>
    <w:rsid w:val="00441A74"/>
    <w:rsid w:val="00442385"/>
    <w:rsid w:val="00442AFE"/>
    <w:rsid w:val="00447567"/>
    <w:rsid w:val="00453EDE"/>
    <w:rsid w:val="00454417"/>
    <w:rsid w:val="00455913"/>
    <w:rsid w:val="00463C18"/>
    <w:rsid w:val="00465D87"/>
    <w:rsid w:val="004679E5"/>
    <w:rsid w:val="00472096"/>
    <w:rsid w:val="00473196"/>
    <w:rsid w:val="004844AB"/>
    <w:rsid w:val="00484B04"/>
    <w:rsid w:val="004864DC"/>
    <w:rsid w:val="0048709E"/>
    <w:rsid w:val="004932EF"/>
    <w:rsid w:val="004954BF"/>
    <w:rsid w:val="00495D46"/>
    <w:rsid w:val="004A1B48"/>
    <w:rsid w:val="004A5477"/>
    <w:rsid w:val="004A6003"/>
    <w:rsid w:val="004A6469"/>
    <w:rsid w:val="004B06AC"/>
    <w:rsid w:val="004C1F3D"/>
    <w:rsid w:val="004C282C"/>
    <w:rsid w:val="004C2F8A"/>
    <w:rsid w:val="004C6040"/>
    <w:rsid w:val="004E0622"/>
    <w:rsid w:val="004E4119"/>
    <w:rsid w:val="004E4AB2"/>
    <w:rsid w:val="004F6059"/>
    <w:rsid w:val="004F6919"/>
    <w:rsid w:val="004F6C20"/>
    <w:rsid w:val="005124E8"/>
    <w:rsid w:val="00517FBC"/>
    <w:rsid w:val="005210CF"/>
    <w:rsid w:val="00522BE2"/>
    <w:rsid w:val="0054040E"/>
    <w:rsid w:val="00540EB2"/>
    <w:rsid w:val="00541C3D"/>
    <w:rsid w:val="00542AD2"/>
    <w:rsid w:val="00546840"/>
    <w:rsid w:val="005509ED"/>
    <w:rsid w:val="00553762"/>
    <w:rsid w:val="00553C5F"/>
    <w:rsid w:val="005547E3"/>
    <w:rsid w:val="00555C3C"/>
    <w:rsid w:val="00557718"/>
    <w:rsid w:val="00557C9C"/>
    <w:rsid w:val="00560E56"/>
    <w:rsid w:val="00571D63"/>
    <w:rsid w:val="0057265E"/>
    <w:rsid w:val="00574093"/>
    <w:rsid w:val="005767CF"/>
    <w:rsid w:val="005809FC"/>
    <w:rsid w:val="00583DF0"/>
    <w:rsid w:val="00584B15"/>
    <w:rsid w:val="005872A6"/>
    <w:rsid w:val="005873FC"/>
    <w:rsid w:val="00587D39"/>
    <w:rsid w:val="00587F0F"/>
    <w:rsid w:val="005A1A43"/>
    <w:rsid w:val="005A1C14"/>
    <w:rsid w:val="005A2AA0"/>
    <w:rsid w:val="005A3AC9"/>
    <w:rsid w:val="005A49F5"/>
    <w:rsid w:val="005A4A90"/>
    <w:rsid w:val="005C1DCC"/>
    <w:rsid w:val="005C55FD"/>
    <w:rsid w:val="005C73E0"/>
    <w:rsid w:val="005C7ABD"/>
    <w:rsid w:val="005D108A"/>
    <w:rsid w:val="005D1674"/>
    <w:rsid w:val="005E41C7"/>
    <w:rsid w:val="005E79AC"/>
    <w:rsid w:val="005F1412"/>
    <w:rsid w:val="0060079B"/>
    <w:rsid w:val="00604869"/>
    <w:rsid w:val="0061136C"/>
    <w:rsid w:val="0061176E"/>
    <w:rsid w:val="006122A5"/>
    <w:rsid w:val="00614121"/>
    <w:rsid w:val="006203E8"/>
    <w:rsid w:val="00630753"/>
    <w:rsid w:val="006427A8"/>
    <w:rsid w:val="00651FBE"/>
    <w:rsid w:val="006549FC"/>
    <w:rsid w:val="00655953"/>
    <w:rsid w:val="0065606A"/>
    <w:rsid w:val="0066189C"/>
    <w:rsid w:val="006712C1"/>
    <w:rsid w:val="0067310E"/>
    <w:rsid w:val="006747A7"/>
    <w:rsid w:val="00674BB7"/>
    <w:rsid w:val="006843BD"/>
    <w:rsid w:val="0068492E"/>
    <w:rsid w:val="00690727"/>
    <w:rsid w:val="00692012"/>
    <w:rsid w:val="00697E37"/>
    <w:rsid w:val="006A1306"/>
    <w:rsid w:val="006A582B"/>
    <w:rsid w:val="006A6EEE"/>
    <w:rsid w:val="006B21C7"/>
    <w:rsid w:val="006B7482"/>
    <w:rsid w:val="006C0F16"/>
    <w:rsid w:val="006C35FA"/>
    <w:rsid w:val="006C7D07"/>
    <w:rsid w:val="006D64E2"/>
    <w:rsid w:val="006D75C6"/>
    <w:rsid w:val="006E04B9"/>
    <w:rsid w:val="006E6C8F"/>
    <w:rsid w:val="006F76B9"/>
    <w:rsid w:val="00706A8B"/>
    <w:rsid w:val="00712EE5"/>
    <w:rsid w:val="00727AD6"/>
    <w:rsid w:val="0073524A"/>
    <w:rsid w:val="00740A2B"/>
    <w:rsid w:val="0075077B"/>
    <w:rsid w:val="00754121"/>
    <w:rsid w:val="0075617B"/>
    <w:rsid w:val="007566A6"/>
    <w:rsid w:val="007601A7"/>
    <w:rsid w:val="00765C39"/>
    <w:rsid w:val="00766A4C"/>
    <w:rsid w:val="00767D3B"/>
    <w:rsid w:val="00773A17"/>
    <w:rsid w:val="00774B46"/>
    <w:rsid w:val="00777E05"/>
    <w:rsid w:val="0078028C"/>
    <w:rsid w:val="00780772"/>
    <w:rsid w:val="00780CAA"/>
    <w:rsid w:val="007827A6"/>
    <w:rsid w:val="007868FA"/>
    <w:rsid w:val="00790BF5"/>
    <w:rsid w:val="00791F0B"/>
    <w:rsid w:val="007930BE"/>
    <w:rsid w:val="007940FF"/>
    <w:rsid w:val="007A44F8"/>
    <w:rsid w:val="007A4F6D"/>
    <w:rsid w:val="007B23E9"/>
    <w:rsid w:val="007B260D"/>
    <w:rsid w:val="007B3A12"/>
    <w:rsid w:val="007B5A9B"/>
    <w:rsid w:val="007B7E7C"/>
    <w:rsid w:val="007B7F36"/>
    <w:rsid w:val="007C0DED"/>
    <w:rsid w:val="007C5322"/>
    <w:rsid w:val="007D1D08"/>
    <w:rsid w:val="007D711F"/>
    <w:rsid w:val="007E5412"/>
    <w:rsid w:val="007F10EB"/>
    <w:rsid w:val="007F3331"/>
    <w:rsid w:val="007F4603"/>
    <w:rsid w:val="007F78A0"/>
    <w:rsid w:val="008079D7"/>
    <w:rsid w:val="00810406"/>
    <w:rsid w:val="00811A67"/>
    <w:rsid w:val="00812393"/>
    <w:rsid w:val="0081623B"/>
    <w:rsid w:val="00820C91"/>
    <w:rsid w:val="00821253"/>
    <w:rsid w:val="0083131F"/>
    <w:rsid w:val="00831FD7"/>
    <w:rsid w:val="00840888"/>
    <w:rsid w:val="0084306A"/>
    <w:rsid w:val="00843A7D"/>
    <w:rsid w:val="008511D5"/>
    <w:rsid w:val="00852D15"/>
    <w:rsid w:val="00857998"/>
    <w:rsid w:val="008608A5"/>
    <w:rsid w:val="008637D3"/>
    <w:rsid w:val="00867EDA"/>
    <w:rsid w:val="00871E10"/>
    <w:rsid w:val="00876A3C"/>
    <w:rsid w:val="008835B1"/>
    <w:rsid w:val="008841E8"/>
    <w:rsid w:val="008865BB"/>
    <w:rsid w:val="00890671"/>
    <w:rsid w:val="008912E2"/>
    <w:rsid w:val="00891D9A"/>
    <w:rsid w:val="00892B41"/>
    <w:rsid w:val="00894697"/>
    <w:rsid w:val="00895B5C"/>
    <w:rsid w:val="00897137"/>
    <w:rsid w:val="008A108D"/>
    <w:rsid w:val="008B23AF"/>
    <w:rsid w:val="008B4BEF"/>
    <w:rsid w:val="008B7240"/>
    <w:rsid w:val="008B7393"/>
    <w:rsid w:val="008C3E73"/>
    <w:rsid w:val="008C4362"/>
    <w:rsid w:val="008C5608"/>
    <w:rsid w:val="008D733D"/>
    <w:rsid w:val="008E130D"/>
    <w:rsid w:val="008E4DC5"/>
    <w:rsid w:val="008E50C8"/>
    <w:rsid w:val="008F19B0"/>
    <w:rsid w:val="00901A40"/>
    <w:rsid w:val="00901B38"/>
    <w:rsid w:val="0091208C"/>
    <w:rsid w:val="00912DEB"/>
    <w:rsid w:val="00914EC9"/>
    <w:rsid w:val="009179AD"/>
    <w:rsid w:val="00917E98"/>
    <w:rsid w:val="00922475"/>
    <w:rsid w:val="0092579D"/>
    <w:rsid w:val="00925BD1"/>
    <w:rsid w:val="0092705F"/>
    <w:rsid w:val="00935FFF"/>
    <w:rsid w:val="00952E3E"/>
    <w:rsid w:val="00954048"/>
    <w:rsid w:val="00955554"/>
    <w:rsid w:val="00955B05"/>
    <w:rsid w:val="00965B82"/>
    <w:rsid w:val="009670BB"/>
    <w:rsid w:val="00967B0A"/>
    <w:rsid w:val="00970720"/>
    <w:rsid w:val="00972283"/>
    <w:rsid w:val="00972638"/>
    <w:rsid w:val="00974506"/>
    <w:rsid w:val="00974B1C"/>
    <w:rsid w:val="0097651E"/>
    <w:rsid w:val="00981E4C"/>
    <w:rsid w:val="009822E9"/>
    <w:rsid w:val="009846F2"/>
    <w:rsid w:val="00990C3D"/>
    <w:rsid w:val="0099243C"/>
    <w:rsid w:val="00995B2B"/>
    <w:rsid w:val="009A2840"/>
    <w:rsid w:val="009B1874"/>
    <w:rsid w:val="009B2F4D"/>
    <w:rsid w:val="009B77FB"/>
    <w:rsid w:val="009C34D7"/>
    <w:rsid w:val="009D2B6C"/>
    <w:rsid w:val="009D7E13"/>
    <w:rsid w:val="009E56CA"/>
    <w:rsid w:val="009E67DA"/>
    <w:rsid w:val="009F3101"/>
    <w:rsid w:val="009F33C8"/>
    <w:rsid w:val="009F33D7"/>
    <w:rsid w:val="00A01ECF"/>
    <w:rsid w:val="00A22A0F"/>
    <w:rsid w:val="00A22FA1"/>
    <w:rsid w:val="00A33C0F"/>
    <w:rsid w:val="00A404E1"/>
    <w:rsid w:val="00A40991"/>
    <w:rsid w:val="00A41C38"/>
    <w:rsid w:val="00A43035"/>
    <w:rsid w:val="00A434BA"/>
    <w:rsid w:val="00A439F4"/>
    <w:rsid w:val="00A44207"/>
    <w:rsid w:val="00A44D1E"/>
    <w:rsid w:val="00A454F9"/>
    <w:rsid w:val="00A61C51"/>
    <w:rsid w:val="00A61CCF"/>
    <w:rsid w:val="00A6393D"/>
    <w:rsid w:val="00A63A70"/>
    <w:rsid w:val="00A65235"/>
    <w:rsid w:val="00A71852"/>
    <w:rsid w:val="00A72D02"/>
    <w:rsid w:val="00A737F9"/>
    <w:rsid w:val="00A74E66"/>
    <w:rsid w:val="00A7704B"/>
    <w:rsid w:val="00A83ACC"/>
    <w:rsid w:val="00A867A2"/>
    <w:rsid w:val="00A87C8F"/>
    <w:rsid w:val="00A91340"/>
    <w:rsid w:val="00A93C26"/>
    <w:rsid w:val="00A94334"/>
    <w:rsid w:val="00A94D31"/>
    <w:rsid w:val="00A95554"/>
    <w:rsid w:val="00AA081A"/>
    <w:rsid w:val="00AB137D"/>
    <w:rsid w:val="00AC1A6B"/>
    <w:rsid w:val="00AC408B"/>
    <w:rsid w:val="00AC5D7F"/>
    <w:rsid w:val="00AC66DC"/>
    <w:rsid w:val="00AD1290"/>
    <w:rsid w:val="00AD3975"/>
    <w:rsid w:val="00AD5362"/>
    <w:rsid w:val="00AE1C0E"/>
    <w:rsid w:val="00AE27C3"/>
    <w:rsid w:val="00AF24F4"/>
    <w:rsid w:val="00AF4EC9"/>
    <w:rsid w:val="00B07847"/>
    <w:rsid w:val="00B12E63"/>
    <w:rsid w:val="00B16298"/>
    <w:rsid w:val="00B17FB4"/>
    <w:rsid w:val="00B26DFB"/>
    <w:rsid w:val="00B3047E"/>
    <w:rsid w:val="00B33CBB"/>
    <w:rsid w:val="00B41E3F"/>
    <w:rsid w:val="00B4588A"/>
    <w:rsid w:val="00B60C10"/>
    <w:rsid w:val="00B614BB"/>
    <w:rsid w:val="00B66533"/>
    <w:rsid w:val="00B72B3E"/>
    <w:rsid w:val="00B74006"/>
    <w:rsid w:val="00B74A32"/>
    <w:rsid w:val="00B80B64"/>
    <w:rsid w:val="00B8294B"/>
    <w:rsid w:val="00B86250"/>
    <w:rsid w:val="00B917CA"/>
    <w:rsid w:val="00B933D4"/>
    <w:rsid w:val="00B96189"/>
    <w:rsid w:val="00BA2ACB"/>
    <w:rsid w:val="00BA2F0D"/>
    <w:rsid w:val="00BA5D5D"/>
    <w:rsid w:val="00BA5E50"/>
    <w:rsid w:val="00BB5819"/>
    <w:rsid w:val="00BB7976"/>
    <w:rsid w:val="00BC0448"/>
    <w:rsid w:val="00BC1052"/>
    <w:rsid w:val="00BC16EE"/>
    <w:rsid w:val="00BD1692"/>
    <w:rsid w:val="00BD2E57"/>
    <w:rsid w:val="00BD352C"/>
    <w:rsid w:val="00BD4C4A"/>
    <w:rsid w:val="00BD5E4A"/>
    <w:rsid w:val="00BD5EA8"/>
    <w:rsid w:val="00BE1532"/>
    <w:rsid w:val="00BE1C84"/>
    <w:rsid w:val="00BE2088"/>
    <w:rsid w:val="00BE75B7"/>
    <w:rsid w:val="00BE7C01"/>
    <w:rsid w:val="00BF008B"/>
    <w:rsid w:val="00BF65D1"/>
    <w:rsid w:val="00C15901"/>
    <w:rsid w:val="00C21759"/>
    <w:rsid w:val="00C219BE"/>
    <w:rsid w:val="00C31FBE"/>
    <w:rsid w:val="00C34C23"/>
    <w:rsid w:val="00C3516D"/>
    <w:rsid w:val="00C41634"/>
    <w:rsid w:val="00C4167C"/>
    <w:rsid w:val="00C4360A"/>
    <w:rsid w:val="00C52376"/>
    <w:rsid w:val="00C61AB9"/>
    <w:rsid w:val="00C665EB"/>
    <w:rsid w:val="00C6671D"/>
    <w:rsid w:val="00C74266"/>
    <w:rsid w:val="00C77951"/>
    <w:rsid w:val="00C826A3"/>
    <w:rsid w:val="00C829DB"/>
    <w:rsid w:val="00C921F7"/>
    <w:rsid w:val="00C94243"/>
    <w:rsid w:val="00CB07B8"/>
    <w:rsid w:val="00CB1AE1"/>
    <w:rsid w:val="00CB68A1"/>
    <w:rsid w:val="00CC11A6"/>
    <w:rsid w:val="00CC174E"/>
    <w:rsid w:val="00CC1880"/>
    <w:rsid w:val="00CC32A4"/>
    <w:rsid w:val="00CD0538"/>
    <w:rsid w:val="00CD0898"/>
    <w:rsid w:val="00CD6060"/>
    <w:rsid w:val="00CD7B07"/>
    <w:rsid w:val="00CE084C"/>
    <w:rsid w:val="00CE2985"/>
    <w:rsid w:val="00CE7BB6"/>
    <w:rsid w:val="00CF2F46"/>
    <w:rsid w:val="00CF45E6"/>
    <w:rsid w:val="00CF4B64"/>
    <w:rsid w:val="00CF7757"/>
    <w:rsid w:val="00D103E1"/>
    <w:rsid w:val="00D10768"/>
    <w:rsid w:val="00D10B60"/>
    <w:rsid w:val="00D10B90"/>
    <w:rsid w:val="00D114AA"/>
    <w:rsid w:val="00D12798"/>
    <w:rsid w:val="00D129D7"/>
    <w:rsid w:val="00D136CE"/>
    <w:rsid w:val="00D13FAC"/>
    <w:rsid w:val="00D149EC"/>
    <w:rsid w:val="00D16F38"/>
    <w:rsid w:val="00D26206"/>
    <w:rsid w:val="00D26A14"/>
    <w:rsid w:val="00D31187"/>
    <w:rsid w:val="00D349B1"/>
    <w:rsid w:val="00D35E0A"/>
    <w:rsid w:val="00D403FF"/>
    <w:rsid w:val="00D508A7"/>
    <w:rsid w:val="00D50C21"/>
    <w:rsid w:val="00D520A0"/>
    <w:rsid w:val="00D558D7"/>
    <w:rsid w:val="00D63567"/>
    <w:rsid w:val="00D70AB2"/>
    <w:rsid w:val="00D73B26"/>
    <w:rsid w:val="00D758A1"/>
    <w:rsid w:val="00D760BB"/>
    <w:rsid w:val="00D774D0"/>
    <w:rsid w:val="00D81B8C"/>
    <w:rsid w:val="00D9189D"/>
    <w:rsid w:val="00D91A65"/>
    <w:rsid w:val="00D91D37"/>
    <w:rsid w:val="00D950B2"/>
    <w:rsid w:val="00D96CA5"/>
    <w:rsid w:val="00D9729D"/>
    <w:rsid w:val="00DA24EB"/>
    <w:rsid w:val="00DA3069"/>
    <w:rsid w:val="00DB0493"/>
    <w:rsid w:val="00DB567D"/>
    <w:rsid w:val="00DB644E"/>
    <w:rsid w:val="00DB7312"/>
    <w:rsid w:val="00DC4488"/>
    <w:rsid w:val="00DD4F0E"/>
    <w:rsid w:val="00DD5B73"/>
    <w:rsid w:val="00DD7302"/>
    <w:rsid w:val="00DE0C96"/>
    <w:rsid w:val="00DE267D"/>
    <w:rsid w:val="00DE6056"/>
    <w:rsid w:val="00E036F5"/>
    <w:rsid w:val="00E05847"/>
    <w:rsid w:val="00E117D0"/>
    <w:rsid w:val="00E15EEE"/>
    <w:rsid w:val="00E20B89"/>
    <w:rsid w:val="00E21511"/>
    <w:rsid w:val="00E2178C"/>
    <w:rsid w:val="00E34A51"/>
    <w:rsid w:val="00E35F21"/>
    <w:rsid w:val="00E4146E"/>
    <w:rsid w:val="00E516F3"/>
    <w:rsid w:val="00E52E0E"/>
    <w:rsid w:val="00E5330E"/>
    <w:rsid w:val="00E55274"/>
    <w:rsid w:val="00E6019E"/>
    <w:rsid w:val="00E61416"/>
    <w:rsid w:val="00E6199A"/>
    <w:rsid w:val="00E676CC"/>
    <w:rsid w:val="00E7154E"/>
    <w:rsid w:val="00E7352D"/>
    <w:rsid w:val="00E74600"/>
    <w:rsid w:val="00E75B3B"/>
    <w:rsid w:val="00E82CC0"/>
    <w:rsid w:val="00E834AA"/>
    <w:rsid w:val="00E86538"/>
    <w:rsid w:val="00E91A40"/>
    <w:rsid w:val="00E93ECD"/>
    <w:rsid w:val="00E96695"/>
    <w:rsid w:val="00E96F3E"/>
    <w:rsid w:val="00EA291A"/>
    <w:rsid w:val="00EA4F56"/>
    <w:rsid w:val="00EA5401"/>
    <w:rsid w:val="00EA560B"/>
    <w:rsid w:val="00EB539D"/>
    <w:rsid w:val="00EC01BE"/>
    <w:rsid w:val="00EC32CA"/>
    <w:rsid w:val="00EC399D"/>
    <w:rsid w:val="00EC4445"/>
    <w:rsid w:val="00EC46C0"/>
    <w:rsid w:val="00ED3F94"/>
    <w:rsid w:val="00ED50B3"/>
    <w:rsid w:val="00ED7ED9"/>
    <w:rsid w:val="00EE047A"/>
    <w:rsid w:val="00EE2510"/>
    <w:rsid w:val="00EE26EB"/>
    <w:rsid w:val="00EE2B4F"/>
    <w:rsid w:val="00EE414C"/>
    <w:rsid w:val="00EF08BC"/>
    <w:rsid w:val="00EF1C4F"/>
    <w:rsid w:val="00EF3F34"/>
    <w:rsid w:val="00EF4073"/>
    <w:rsid w:val="00EF4F5A"/>
    <w:rsid w:val="00EF5B7B"/>
    <w:rsid w:val="00F000D2"/>
    <w:rsid w:val="00F02C0C"/>
    <w:rsid w:val="00F06013"/>
    <w:rsid w:val="00F069EA"/>
    <w:rsid w:val="00F07354"/>
    <w:rsid w:val="00F13907"/>
    <w:rsid w:val="00F1682B"/>
    <w:rsid w:val="00F227DF"/>
    <w:rsid w:val="00F2745B"/>
    <w:rsid w:val="00F27F77"/>
    <w:rsid w:val="00F311FB"/>
    <w:rsid w:val="00F324DE"/>
    <w:rsid w:val="00F434DC"/>
    <w:rsid w:val="00F45C38"/>
    <w:rsid w:val="00F5153B"/>
    <w:rsid w:val="00F5530A"/>
    <w:rsid w:val="00F56AA2"/>
    <w:rsid w:val="00F670B4"/>
    <w:rsid w:val="00F67361"/>
    <w:rsid w:val="00F747A6"/>
    <w:rsid w:val="00F74F76"/>
    <w:rsid w:val="00F77237"/>
    <w:rsid w:val="00F77C03"/>
    <w:rsid w:val="00F81A74"/>
    <w:rsid w:val="00F824F1"/>
    <w:rsid w:val="00F86D12"/>
    <w:rsid w:val="00F914F9"/>
    <w:rsid w:val="00F93D41"/>
    <w:rsid w:val="00F94DB5"/>
    <w:rsid w:val="00FA226F"/>
    <w:rsid w:val="00FA772A"/>
    <w:rsid w:val="00FB0860"/>
    <w:rsid w:val="00FB0EFF"/>
    <w:rsid w:val="00FB490B"/>
    <w:rsid w:val="00FB702F"/>
    <w:rsid w:val="00FB7949"/>
    <w:rsid w:val="00FC046F"/>
    <w:rsid w:val="00FC5833"/>
    <w:rsid w:val="00FD011B"/>
    <w:rsid w:val="00FD37D7"/>
    <w:rsid w:val="00FD526C"/>
    <w:rsid w:val="00FE08E3"/>
    <w:rsid w:val="00FE3FFE"/>
    <w:rsid w:val="00FE72CE"/>
    <w:rsid w:val="00FF0FD7"/>
    <w:rsid w:val="00FF533A"/>
    <w:rsid w:val="00FF6BE9"/>
    <w:rsid w:val="00FF72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077B"/>
    <w:pPr>
      <w:spacing w:after="0" w:line="240" w:lineRule="auto"/>
    </w:pPr>
    <w:rPr>
      <w:rFonts w:eastAsia="Times New Roman"/>
      <w:lang w:eastAsia="de-DE"/>
    </w:rPr>
  </w:style>
  <w:style w:type="paragraph" w:styleId="berschrift1">
    <w:name w:val="heading 1"/>
    <w:basedOn w:val="Standard"/>
    <w:next w:val="Standard"/>
    <w:link w:val="berschrift1Zchn"/>
    <w:qFormat/>
    <w:rsid w:val="0075077B"/>
    <w:pPr>
      <w:keepNext/>
      <w:outlineLvl w:val="0"/>
    </w:pPr>
    <w:rPr>
      <w:sz w:val="18"/>
      <w:u w:val="single"/>
    </w:rPr>
  </w:style>
  <w:style w:type="paragraph" w:styleId="berschrift3">
    <w:name w:val="heading 3"/>
    <w:basedOn w:val="Standard"/>
    <w:next w:val="Standard"/>
    <w:link w:val="berschrift3Zchn"/>
    <w:qFormat/>
    <w:rsid w:val="0075077B"/>
    <w:pPr>
      <w:keepNext/>
      <w:pBdr>
        <w:top w:val="single" w:sz="4" w:space="1" w:color="auto"/>
        <w:left w:val="single" w:sz="4" w:space="4" w:color="auto"/>
        <w:bottom w:val="single" w:sz="4" w:space="1" w:color="auto"/>
        <w:right w:val="single" w:sz="4" w:space="4" w:color="auto"/>
      </w:pBdr>
      <w:outlineLvl w:val="2"/>
    </w:pPr>
    <w:rPr>
      <w:b/>
      <w:bCs/>
    </w:rPr>
  </w:style>
  <w:style w:type="paragraph" w:styleId="berschrift4">
    <w:name w:val="heading 4"/>
    <w:basedOn w:val="Standard"/>
    <w:next w:val="Standard"/>
    <w:link w:val="berschrift4Zchn"/>
    <w:qFormat/>
    <w:rsid w:val="0075077B"/>
    <w:pPr>
      <w:keepNext/>
      <w:tabs>
        <w:tab w:val="left" w:pos="1530"/>
      </w:tabs>
      <w:outlineLvl w:val="3"/>
    </w:pPr>
    <w:rPr>
      <w:i/>
      <w:iCs/>
    </w:rPr>
  </w:style>
  <w:style w:type="paragraph" w:styleId="berschrift5">
    <w:name w:val="heading 5"/>
    <w:basedOn w:val="Standard"/>
    <w:next w:val="Standard"/>
    <w:link w:val="berschrift5Zchn"/>
    <w:qFormat/>
    <w:rsid w:val="0075077B"/>
    <w:pPr>
      <w:keepNext/>
      <w:tabs>
        <w:tab w:val="left" w:pos="1530"/>
      </w:tabs>
      <w:jc w:val="center"/>
      <w:outlineLvl w:val="4"/>
    </w:pPr>
    <w:rPr>
      <w:b/>
      <w:bCs/>
      <w:i/>
      <w:iCs/>
      <w:sz w:val="32"/>
    </w:rPr>
  </w:style>
  <w:style w:type="paragraph" w:styleId="berschrift6">
    <w:name w:val="heading 6"/>
    <w:basedOn w:val="Standard"/>
    <w:next w:val="Standard"/>
    <w:link w:val="berschrift6Zchn"/>
    <w:qFormat/>
    <w:rsid w:val="0075077B"/>
    <w:pPr>
      <w:keepNext/>
      <w:pBdr>
        <w:top w:val="double" w:sz="4" w:space="1" w:color="auto"/>
        <w:left w:val="double" w:sz="4" w:space="1" w:color="auto"/>
        <w:bottom w:val="double" w:sz="4" w:space="3" w:color="auto"/>
        <w:right w:val="double" w:sz="4" w:space="1" w:color="auto"/>
      </w:pBdr>
      <w:outlineLvl w:val="5"/>
    </w:pPr>
    <w:rPr>
      <w:b/>
      <w:bCs/>
    </w:rPr>
  </w:style>
  <w:style w:type="paragraph" w:styleId="berschrift7">
    <w:name w:val="heading 7"/>
    <w:basedOn w:val="Standard"/>
    <w:next w:val="Standard"/>
    <w:link w:val="berschrift7Zchn"/>
    <w:qFormat/>
    <w:rsid w:val="0075077B"/>
    <w:pPr>
      <w:keepNext/>
      <w:jc w:val="center"/>
      <w:outlineLvl w:val="6"/>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5077B"/>
    <w:rPr>
      <w:rFonts w:eastAsia="Times New Roman"/>
      <w:sz w:val="18"/>
      <w:u w:val="single"/>
      <w:lang w:eastAsia="de-DE"/>
    </w:rPr>
  </w:style>
  <w:style w:type="character" w:customStyle="1" w:styleId="berschrift3Zchn">
    <w:name w:val="Überschrift 3 Zchn"/>
    <w:basedOn w:val="Absatz-Standardschriftart"/>
    <w:link w:val="berschrift3"/>
    <w:rsid w:val="0075077B"/>
    <w:rPr>
      <w:rFonts w:eastAsia="Times New Roman"/>
      <w:b/>
      <w:bCs/>
      <w:lang w:eastAsia="de-DE"/>
    </w:rPr>
  </w:style>
  <w:style w:type="character" w:customStyle="1" w:styleId="berschrift4Zchn">
    <w:name w:val="Überschrift 4 Zchn"/>
    <w:basedOn w:val="Absatz-Standardschriftart"/>
    <w:link w:val="berschrift4"/>
    <w:rsid w:val="0075077B"/>
    <w:rPr>
      <w:rFonts w:eastAsia="Times New Roman"/>
      <w:i/>
      <w:iCs/>
      <w:lang w:eastAsia="de-DE"/>
    </w:rPr>
  </w:style>
  <w:style w:type="character" w:customStyle="1" w:styleId="berschrift5Zchn">
    <w:name w:val="Überschrift 5 Zchn"/>
    <w:basedOn w:val="Absatz-Standardschriftart"/>
    <w:link w:val="berschrift5"/>
    <w:rsid w:val="0075077B"/>
    <w:rPr>
      <w:rFonts w:eastAsia="Times New Roman"/>
      <w:b/>
      <w:bCs/>
      <w:i/>
      <w:iCs/>
      <w:sz w:val="32"/>
      <w:lang w:eastAsia="de-DE"/>
    </w:rPr>
  </w:style>
  <w:style w:type="character" w:customStyle="1" w:styleId="berschrift6Zchn">
    <w:name w:val="Überschrift 6 Zchn"/>
    <w:basedOn w:val="Absatz-Standardschriftart"/>
    <w:link w:val="berschrift6"/>
    <w:rsid w:val="0075077B"/>
    <w:rPr>
      <w:rFonts w:eastAsia="Times New Roman"/>
      <w:b/>
      <w:bCs/>
      <w:lang w:eastAsia="de-DE"/>
    </w:rPr>
  </w:style>
  <w:style w:type="character" w:customStyle="1" w:styleId="berschrift7Zchn">
    <w:name w:val="Überschrift 7 Zchn"/>
    <w:basedOn w:val="Absatz-Standardschriftart"/>
    <w:link w:val="berschrift7"/>
    <w:rsid w:val="0075077B"/>
    <w:rPr>
      <w:rFonts w:eastAsia="Times New Roman"/>
      <w:b/>
      <w:bCs/>
      <w:lang w:val="en-GB" w:eastAsia="de-DE"/>
    </w:rPr>
  </w:style>
  <w:style w:type="paragraph" w:styleId="Sprechblasentext">
    <w:name w:val="Balloon Text"/>
    <w:basedOn w:val="Standard"/>
    <w:link w:val="SprechblasentextZchn"/>
    <w:uiPriority w:val="99"/>
    <w:semiHidden/>
    <w:unhideWhenUsed/>
    <w:rsid w:val="007507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77B"/>
    <w:rPr>
      <w:rFonts w:ascii="Tahoma" w:eastAsia="Times New Roman" w:hAnsi="Tahoma" w:cs="Tahoma"/>
      <w:sz w:val="16"/>
      <w:szCs w:val="16"/>
      <w:lang w:eastAsia="de-DE"/>
    </w:rPr>
  </w:style>
  <w:style w:type="table" w:styleId="Tabellengitternetz">
    <w:name w:val="Table Grid"/>
    <w:basedOn w:val="NormaleTabelle"/>
    <w:uiPriority w:val="59"/>
    <w:rsid w:val="00EF4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655953"/>
    <w:pPr>
      <w:ind w:left="720"/>
      <w:contextualSpacing/>
    </w:pPr>
  </w:style>
  <w:style w:type="character" w:styleId="Fett">
    <w:name w:val="Strong"/>
    <w:basedOn w:val="Absatz-Standardschriftart"/>
    <w:uiPriority w:val="22"/>
    <w:qFormat/>
    <w:rsid w:val="00A95554"/>
    <w:rPr>
      <w:b/>
      <w:bCs/>
    </w:rPr>
  </w:style>
  <w:style w:type="paragraph" w:styleId="Kopfzeile">
    <w:name w:val="header"/>
    <w:basedOn w:val="Standard"/>
    <w:link w:val="KopfzeileZchn"/>
    <w:uiPriority w:val="99"/>
    <w:semiHidden/>
    <w:unhideWhenUsed/>
    <w:rsid w:val="00EA5401"/>
    <w:pPr>
      <w:tabs>
        <w:tab w:val="center" w:pos="4536"/>
        <w:tab w:val="right" w:pos="9072"/>
      </w:tabs>
    </w:pPr>
  </w:style>
  <w:style w:type="character" w:customStyle="1" w:styleId="KopfzeileZchn">
    <w:name w:val="Kopfzeile Zchn"/>
    <w:basedOn w:val="Absatz-Standardschriftart"/>
    <w:link w:val="Kopfzeile"/>
    <w:uiPriority w:val="99"/>
    <w:semiHidden/>
    <w:rsid w:val="00EA5401"/>
    <w:rPr>
      <w:rFonts w:eastAsia="Times New Roman"/>
      <w:lang w:eastAsia="de-DE"/>
    </w:rPr>
  </w:style>
  <w:style w:type="paragraph" w:styleId="Fuzeile">
    <w:name w:val="footer"/>
    <w:basedOn w:val="Standard"/>
    <w:link w:val="FuzeileZchn"/>
    <w:uiPriority w:val="99"/>
    <w:semiHidden/>
    <w:unhideWhenUsed/>
    <w:rsid w:val="00EA5401"/>
    <w:pPr>
      <w:tabs>
        <w:tab w:val="center" w:pos="4536"/>
        <w:tab w:val="right" w:pos="9072"/>
      </w:tabs>
    </w:pPr>
  </w:style>
  <w:style w:type="character" w:customStyle="1" w:styleId="FuzeileZchn">
    <w:name w:val="Fußzeile Zchn"/>
    <w:basedOn w:val="Absatz-Standardschriftart"/>
    <w:link w:val="Fuzeile"/>
    <w:uiPriority w:val="99"/>
    <w:semiHidden/>
    <w:rsid w:val="00EA5401"/>
    <w:rPr>
      <w:rFonts w:eastAsia="Times New Roman"/>
      <w:lang w:eastAsia="de-DE"/>
    </w:rPr>
  </w:style>
  <w:style w:type="paragraph" w:customStyle="1" w:styleId="Default">
    <w:name w:val="Default"/>
    <w:rsid w:val="000F0C1F"/>
    <w:pPr>
      <w:autoSpaceDE w:val="0"/>
      <w:autoSpaceDN w:val="0"/>
      <w:adjustRightInd w:val="0"/>
      <w:spacing w:after="0" w:line="240" w:lineRule="auto"/>
    </w:pPr>
    <w:rPr>
      <w:rFonts w:ascii="Verdana" w:hAnsi="Verdana" w:cs="Verdana"/>
      <w:color w:val="000000"/>
    </w:rPr>
  </w:style>
  <w:style w:type="paragraph" w:customStyle="1" w:styleId="Pa5">
    <w:name w:val="Pa5"/>
    <w:basedOn w:val="Default"/>
    <w:next w:val="Default"/>
    <w:uiPriority w:val="99"/>
    <w:rsid w:val="000870F0"/>
    <w:pPr>
      <w:spacing w:line="201" w:lineRule="atLeast"/>
    </w:pPr>
    <w:rPr>
      <w:rFonts w:cs="Times New Roman"/>
      <w:color w:val="auto"/>
    </w:rPr>
  </w:style>
  <w:style w:type="character" w:customStyle="1" w:styleId="A0">
    <w:name w:val="A0"/>
    <w:uiPriority w:val="99"/>
    <w:rsid w:val="000870F0"/>
    <w:rPr>
      <w:rFonts w:cs="Verdana"/>
      <w:color w:val="000000"/>
      <w:sz w:val="18"/>
      <w:szCs w:val="18"/>
    </w:rPr>
  </w:style>
  <w:style w:type="character" w:customStyle="1" w:styleId="A2">
    <w:name w:val="A2"/>
    <w:uiPriority w:val="99"/>
    <w:rsid w:val="000870F0"/>
    <w:rPr>
      <w:rFonts w:cs="Verdana"/>
      <w:color w:val="000000"/>
    </w:rPr>
  </w:style>
  <w:style w:type="paragraph" w:styleId="StandardWeb">
    <w:name w:val="Normal (Web)"/>
    <w:basedOn w:val="Standard"/>
    <w:uiPriority w:val="99"/>
    <w:unhideWhenUsed/>
    <w:rsid w:val="0007769B"/>
    <w:pPr>
      <w:spacing w:before="100" w:beforeAutospacing="1" w:after="100" w:afterAutospacing="1"/>
    </w:pPr>
  </w:style>
  <w:style w:type="character" w:styleId="Hyperlink">
    <w:name w:val="Hyperlink"/>
    <w:basedOn w:val="Absatz-Standardschriftart"/>
    <w:uiPriority w:val="99"/>
    <w:semiHidden/>
    <w:unhideWhenUsed/>
    <w:rsid w:val="0007769B"/>
    <w:rPr>
      <w:color w:val="0000FF"/>
      <w:u w:val="single"/>
    </w:rPr>
  </w:style>
</w:styles>
</file>

<file path=word/webSettings.xml><?xml version="1.0" encoding="utf-8"?>
<w:webSettings xmlns:r="http://schemas.openxmlformats.org/officeDocument/2006/relationships" xmlns:w="http://schemas.openxmlformats.org/wordprocessingml/2006/main">
  <w:divs>
    <w:div w:id="827943680">
      <w:bodyDiv w:val="1"/>
      <w:marLeft w:val="0"/>
      <w:marRight w:val="0"/>
      <w:marTop w:val="0"/>
      <w:marBottom w:val="0"/>
      <w:divBdr>
        <w:top w:val="none" w:sz="0" w:space="0" w:color="auto"/>
        <w:left w:val="none" w:sz="0" w:space="0" w:color="auto"/>
        <w:bottom w:val="none" w:sz="0" w:space="0" w:color="auto"/>
        <w:right w:val="none" w:sz="0" w:space="0" w:color="auto"/>
      </w:divBdr>
    </w:div>
    <w:div w:id="1116801365">
      <w:bodyDiv w:val="1"/>
      <w:marLeft w:val="0"/>
      <w:marRight w:val="0"/>
      <w:marTop w:val="0"/>
      <w:marBottom w:val="0"/>
      <w:divBdr>
        <w:top w:val="none" w:sz="0" w:space="0" w:color="auto"/>
        <w:left w:val="none" w:sz="0" w:space="0" w:color="auto"/>
        <w:bottom w:val="none" w:sz="0" w:space="0" w:color="auto"/>
        <w:right w:val="none" w:sz="0" w:space="0" w:color="auto"/>
      </w:divBdr>
      <w:divsChild>
        <w:div w:id="303169774">
          <w:marLeft w:val="0"/>
          <w:marRight w:val="0"/>
          <w:marTop w:val="0"/>
          <w:marBottom w:val="0"/>
          <w:divBdr>
            <w:top w:val="none" w:sz="0" w:space="0" w:color="auto"/>
            <w:left w:val="none" w:sz="0" w:space="0" w:color="auto"/>
            <w:bottom w:val="none" w:sz="0" w:space="0" w:color="auto"/>
            <w:right w:val="none" w:sz="0" w:space="0" w:color="auto"/>
          </w:divBdr>
          <w:divsChild>
            <w:div w:id="2090926894">
              <w:marLeft w:val="0"/>
              <w:marRight w:val="0"/>
              <w:marTop w:val="0"/>
              <w:marBottom w:val="0"/>
              <w:divBdr>
                <w:top w:val="none" w:sz="0" w:space="0" w:color="auto"/>
                <w:left w:val="none" w:sz="0" w:space="0" w:color="auto"/>
                <w:bottom w:val="none" w:sz="0" w:space="0" w:color="auto"/>
                <w:right w:val="none" w:sz="0" w:space="0" w:color="auto"/>
              </w:divBdr>
              <w:divsChild>
                <w:div w:id="187523526">
                  <w:marLeft w:val="0"/>
                  <w:marRight w:val="0"/>
                  <w:marTop w:val="0"/>
                  <w:marBottom w:val="0"/>
                  <w:divBdr>
                    <w:top w:val="none" w:sz="0" w:space="0" w:color="auto"/>
                    <w:left w:val="none" w:sz="0" w:space="0" w:color="auto"/>
                    <w:bottom w:val="none" w:sz="0" w:space="0" w:color="auto"/>
                    <w:right w:val="none" w:sz="0" w:space="0" w:color="auto"/>
                  </w:divBdr>
                  <w:divsChild>
                    <w:div w:id="2068216827">
                      <w:marLeft w:val="0"/>
                      <w:marRight w:val="0"/>
                      <w:marTop w:val="0"/>
                      <w:marBottom w:val="0"/>
                      <w:divBdr>
                        <w:top w:val="none" w:sz="0" w:space="0" w:color="auto"/>
                        <w:left w:val="none" w:sz="0" w:space="0" w:color="auto"/>
                        <w:bottom w:val="none" w:sz="0" w:space="0" w:color="auto"/>
                        <w:right w:val="none" w:sz="0" w:space="0" w:color="auto"/>
                      </w:divBdr>
                      <w:divsChild>
                        <w:div w:id="193424008">
                          <w:marLeft w:val="0"/>
                          <w:marRight w:val="0"/>
                          <w:marTop w:val="0"/>
                          <w:marBottom w:val="0"/>
                          <w:divBdr>
                            <w:top w:val="none" w:sz="0" w:space="0" w:color="auto"/>
                            <w:left w:val="none" w:sz="0" w:space="0" w:color="auto"/>
                            <w:bottom w:val="none" w:sz="0" w:space="0" w:color="auto"/>
                            <w:right w:val="none" w:sz="0" w:space="0" w:color="auto"/>
                          </w:divBdr>
                          <w:divsChild>
                            <w:div w:id="1473713337">
                              <w:marLeft w:val="0"/>
                              <w:marRight w:val="0"/>
                              <w:marTop w:val="0"/>
                              <w:marBottom w:val="0"/>
                              <w:divBdr>
                                <w:top w:val="none" w:sz="0" w:space="0" w:color="auto"/>
                                <w:left w:val="none" w:sz="0" w:space="0" w:color="auto"/>
                                <w:bottom w:val="none" w:sz="0" w:space="0" w:color="auto"/>
                                <w:right w:val="none" w:sz="0" w:space="0" w:color="auto"/>
                              </w:divBdr>
                              <w:divsChild>
                                <w:div w:id="1304114692">
                                  <w:marLeft w:val="0"/>
                                  <w:marRight w:val="0"/>
                                  <w:marTop w:val="0"/>
                                  <w:marBottom w:val="0"/>
                                  <w:divBdr>
                                    <w:top w:val="none" w:sz="0" w:space="0" w:color="auto"/>
                                    <w:left w:val="none" w:sz="0" w:space="0" w:color="auto"/>
                                    <w:bottom w:val="none" w:sz="0" w:space="0" w:color="auto"/>
                                    <w:right w:val="none" w:sz="0" w:space="0" w:color="auto"/>
                                  </w:divBdr>
                                  <w:divsChild>
                                    <w:div w:id="248852395">
                                      <w:marLeft w:val="0"/>
                                      <w:marRight w:val="0"/>
                                      <w:marTop w:val="0"/>
                                      <w:marBottom w:val="0"/>
                                      <w:divBdr>
                                        <w:top w:val="none" w:sz="0" w:space="0" w:color="auto"/>
                                        <w:left w:val="none" w:sz="0" w:space="0" w:color="auto"/>
                                        <w:bottom w:val="none" w:sz="0" w:space="0" w:color="auto"/>
                                        <w:right w:val="none" w:sz="0" w:space="0" w:color="auto"/>
                                      </w:divBdr>
                                      <w:divsChild>
                                        <w:div w:id="658458316">
                                          <w:marLeft w:val="0"/>
                                          <w:marRight w:val="0"/>
                                          <w:marTop w:val="0"/>
                                          <w:marBottom w:val="0"/>
                                          <w:divBdr>
                                            <w:top w:val="none" w:sz="0" w:space="0" w:color="auto"/>
                                            <w:left w:val="none" w:sz="0" w:space="0" w:color="auto"/>
                                            <w:bottom w:val="none" w:sz="0" w:space="0" w:color="auto"/>
                                            <w:right w:val="none" w:sz="0" w:space="0" w:color="auto"/>
                                          </w:divBdr>
                                          <w:divsChild>
                                            <w:div w:id="11666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878890">
      <w:bodyDiv w:val="1"/>
      <w:marLeft w:val="0"/>
      <w:marRight w:val="0"/>
      <w:marTop w:val="0"/>
      <w:marBottom w:val="0"/>
      <w:divBdr>
        <w:top w:val="none" w:sz="0" w:space="0" w:color="auto"/>
        <w:left w:val="none" w:sz="0" w:space="0" w:color="auto"/>
        <w:bottom w:val="none" w:sz="0" w:space="0" w:color="auto"/>
        <w:right w:val="none" w:sz="0" w:space="0" w:color="auto"/>
      </w:divBdr>
    </w:div>
    <w:div w:id="17664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6.emf"/><Relationship Id="rId26" Type="http://schemas.openxmlformats.org/officeDocument/2006/relationships/hyperlink" Target="https://www.google.de/url?sa=i&amp;rct=j&amp;q=&amp;esrc=s&amp;source=images&amp;cd=&amp;ved=2ahUKEwjRtarN3YLZAhXC_qQKHUAuBV0QjRx6BAgAEAY&amp;url=https://europa.eu/european-union/about-eu/symbols/flag_de&amp;psig=AOvVaw1O10dLf9p0p9YQzS0rCx3W&amp;ust=1517506291730064"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e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google.de/imgres?start=302&amp;sa=X&amp;biw=1920&amp;bih=943&amp;tbm=isch&amp;tbnid=6RORhv-Zix4NEM:&amp;imgrefurl=http://www.datenservice-riegel.de/einsatz/einsatz.html&amp;docid=pAXfDOZQ7R5xRM&amp;imgurl=http://www.datenservice-riegel.de/einsatz/gluehbirne2.gif&amp;w=224&amp;h=322&amp;ei=llf2UvvEDMaatAbd1oCIDQ&amp;zoom=1&amp;iact=rc&amp;dur=428&amp;page=6&amp;ndsp=64&amp;ved=0CFYQrQMwGzisA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png"/><Relationship Id="rId28" Type="http://schemas.openxmlformats.org/officeDocument/2006/relationships/hyperlink" Target="https://www.google.de/url?sa=i&amp;rct=j&amp;q=&amp;esrc=s&amp;source=images&amp;cd=&amp;cad=rja&amp;uact=8&amp;ved=2ahUKEwjl1Jro3YLZAhWR_qQKHRL9D2YQjRx6BAgAEAY&amp;url=https://de.wikipedia.org/wiki/Reichstagsgeb%C3%A4ude&amp;psig=AOvVaw0lqbbLXmBqx621klznnrYX&amp;ust=1517506339596322" TargetMode="Externa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de/url?sa=i&amp;rct=j&amp;q=&amp;esrc=s&amp;source=images&amp;cd=&amp;cad=rja&amp;uact=8&amp;ved=2ahUKEwjdrL64g4DZAhXS_KQKHZ4WAIgQjRx6BAgAEAY&amp;url=http://www.neuepresse.de/Nachrichten/Politik/Deutschland-Welt/Donald-Trump-die-Bilder-seiner-Amtseinfuehrung&amp;psig=AOvVaw3Fc9ktUDQp2lca0G8sWcBx&amp;ust=1517413369274170" TargetMode="External"/><Relationship Id="rId14" Type="http://schemas.openxmlformats.org/officeDocument/2006/relationships/diagramLayout" Target="diagrams/layout1.xml"/><Relationship Id="rId22" Type="http://schemas.openxmlformats.org/officeDocument/2006/relationships/hyperlink" Target="https://upload.wikimedia.org/wikipedia/commons/0/03/Flag_of_Italy.svg" TargetMode="External"/><Relationship Id="rId27" Type="http://schemas.openxmlformats.org/officeDocument/2006/relationships/image" Target="media/image12.jpeg"/><Relationship Id="rId30" Type="http://schemas.openxmlformats.org/officeDocument/2006/relationships/image" Target="media/image1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A7F88-1168-4BB7-8EE7-F885DF3F9282}" type="doc">
      <dgm:prSet loTypeId="urn:microsoft.com/office/officeart/2005/8/layout/pyramid1" loCatId="pyramid" qsTypeId="urn:microsoft.com/office/officeart/2005/8/quickstyle/simple1" qsCatId="simple" csTypeId="urn:microsoft.com/office/officeart/2005/8/colors/accent1_2" csCatId="accent1" phldr="1"/>
      <dgm:spPr/>
    </dgm:pt>
    <dgm:pt modelId="{BEC26925-69C9-4642-8971-A1BBBCC024FF}">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de-DE" sz="1100"/>
            <a:t>Ruhestands-</a:t>
          </a:r>
        </a:p>
        <a:p>
          <a:r>
            <a:rPr lang="de-DE" sz="1100"/>
            <a:t>depot</a:t>
          </a:r>
        </a:p>
      </dgm:t>
    </dgm:pt>
    <dgm:pt modelId="{C619D5F8-BCE2-4FC2-9E60-DFD89D05397E}" type="parTrans" cxnId="{761DFA64-FA7F-4CC2-A6D4-9325A41AFAD6}">
      <dgm:prSet/>
      <dgm:spPr/>
      <dgm:t>
        <a:bodyPr/>
        <a:lstStyle/>
        <a:p>
          <a:endParaRPr lang="de-DE"/>
        </a:p>
      </dgm:t>
    </dgm:pt>
    <dgm:pt modelId="{44CCD0EC-7091-42F1-A1B6-97C1495D221C}" type="sibTrans" cxnId="{761DFA64-FA7F-4CC2-A6D4-9325A41AFAD6}">
      <dgm:prSet/>
      <dgm:spPr/>
      <dgm:t>
        <a:bodyPr/>
        <a:lstStyle/>
        <a:p>
          <a:endParaRPr lang="de-DE"/>
        </a:p>
      </dgm:t>
    </dgm:pt>
    <dgm:pt modelId="{E9B95762-B9A0-4203-835A-69EF40895110}">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de-DE" sz="1100"/>
            <a:t>Vermögensverwaltung</a:t>
          </a:r>
        </a:p>
        <a:p>
          <a:r>
            <a:rPr lang="de-DE" sz="1100"/>
            <a:t>Private Wealth Management</a:t>
          </a:r>
        </a:p>
      </dgm:t>
    </dgm:pt>
    <dgm:pt modelId="{D8DD5F1C-5E01-462D-BB0C-4DE0C9EC3A93}" type="parTrans" cxnId="{9A05881C-0526-475C-9042-CCA84F672CB2}">
      <dgm:prSet/>
      <dgm:spPr/>
      <dgm:t>
        <a:bodyPr/>
        <a:lstStyle/>
        <a:p>
          <a:endParaRPr lang="de-DE"/>
        </a:p>
      </dgm:t>
    </dgm:pt>
    <dgm:pt modelId="{E484EE63-223F-4B51-A66C-523106CD09C4}" type="sibTrans" cxnId="{9A05881C-0526-475C-9042-CCA84F672CB2}">
      <dgm:prSet/>
      <dgm:spPr/>
      <dgm:t>
        <a:bodyPr/>
        <a:lstStyle/>
        <a:p>
          <a:endParaRPr lang="de-DE"/>
        </a:p>
      </dgm:t>
    </dgm:pt>
    <dgm:pt modelId="{E093BA44-1EAF-4B84-A660-55F5C2254B30}">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spPr>
      <dgm:t>
        <a:bodyPr/>
        <a:lstStyle/>
        <a:p>
          <a:r>
            <a:rPr lang="de-DE" sz="1100"/>
            <a:t>Basisvorsorge:</a:t>
          </a:r>
        </a:p>
        <a:p>
          <a:r>
            <a:rPr lang="de-DE" sz="1100"/>
            <a:t>Girokonto / Tagesgeld</a:t>
          </a:r>
        </a:p>
      </dgm:t>
    </dgm:pt>
    <dgm:pt modelId="{82339B51-617D-477E-805F-9D1C707FB28A}" type="parTrans" cxnId="{650188DF-89F8-47DD-B593-EA3CB1051487}">
      <dgm:prSet/>
      <dgm:spPr/>
      <dgm:t>
        <a:bodyPr/>
        <a:lstStyle/>
        <a:p>
          <a:endParaRPr lang="de-DE"/>
        </a:p>
      </dgm:t>
    </dgm:pt>
    <dgm:pt modelId="{A2B56FDF-81D7-4A8D-8372-C4F3B1D76F51}" type="sibTrans" cxnId="{650188DF-89F8-47DD-B593-EA3CB1051487}">
      <dgm:prSet/>
      <dgm:spPr/>
      <dgm:t>
        <a:bodyPr/>
        <a:lstStyle/>
        <a:p>
          <a:endParaRPr lang="de-DE"/>
        </a:p>
      </dgm:t>
    </dgm:pt>
    <dgm:pt modelId="{A21A3A83-A369-48E8-83B5-2A1439A46F32}" type="pres">
      <dgm:prSet presAssocID="{A82A7F88-1168-4BB7-8EE7-F885DF3F9282}" presName="Name0" presStyleCnt="0">
        <dgm:presLayoutVars>
          <dgm:dir/>
          <dgm:animLvl val="lvl"/>
          <dgm:resizeHandles val="exact"/>
        </dgm:presLayoutVars>
      </dgm:prSet>
      <dgm:spPr/>
    </dgm:pt>
    <dgm:pt modelId="{3A0489A2-34E0-4C4E-916F-750EDEB857D3}" type="pres">
      <dgm:prSet presAssocID="{BEC26925-69C9-4642-8971-A1BBBCC024FF}" presName="Name8" presStyleCnt="0"/>
      <dgm:spPr/>
    </dgm:pt>
    <dgm:pt modelId="{D45A96EB-0D50-4ED5-899A-3B99FEE4D52D}" type="pres">
      <dgm:prSet presAssocID="{BEC26925-69C9-4642-8971-A1BBBCC024FF}" presName="level" presStyleLbl="node1" presStyleIdx="0" presStyleCnt="3">
        <dgm:presLayoutVars>
          <dgm:chMax val="1"/>
          <dgm:bulletEnabled val="1"/>
        </dgm:presLayoutVars>
      </dgm:prSet>
      <dgm:spPr/>
      <dgm:t>
        <a:bodyPr/>
        <a:lstStyle/>
        <a:p>
          <a:endParaRPr lang="de-DE"/>
        </a:p>
      </dgm:t>
    </dgm:pt>
    <dgm:pt modelId="{72723261-4768-49B1-A45D-5FEC9066CBC5}" type="pres">
      <dgm:prSet presAssocID="{BEC26925-69C9-4642-8971-A1BBBCC024FF}" presName="levelTx" presStyleLbl="revTx" presStyleIdx="0" presStyleCnt="0">
        <dgm:presLayoutVars>
          <dgm:chMax val="1"/>
          <dgm:bulletEnabled val="1"/>
        </dgm:presLayoutVars>
      </dgm:prSet>
      <dgm:spPr/>
      <dgm:t>
        <a:bodyPr/>
        <a:lstStyle/>
        <a:p>
          <a:endParaRPr lang="de-DE"/>
        </a:p>
      </dgm:t>
    </dgm:pt>
    <dgm:pt modelId="{3FB34875-7251-4FFA-9DA4-6AD09FBC2D5F}" type="pres">
      <dgm:prSet presAssocID="{E9B95762-B9A0-4203-835A-69EF40895110}" presName="Name8" presStyleCnt="0"/>
      <dgm:spPr/>
    </dgm:pt>
    <dgm:pt modelId="{7197770B-87D7-4017-B37E-AB6614AC3952}" type="pres">
      <dgm:prSet presAssocID="{E9B95762-B9A0-4203-835A-69EF40895110}" presName="level" presStyleLbl="node1" presStyleIdx="1" presStyleCnt="3">
        <dgm:presLayoutVars>
          <dgm:chMax val="1"/>
          <dgm:bulletEnabled val="1"/>
        </dgm:presLayoutVars>
      </dgm:prSet>
      <dgm:spPr/>
      <dgm:t>
        <a:bodyPr/>
        <a:lstStyle/>
        <a:p>
          <a:endParaRPr lang="de-DE"/>
        </a:p>
      </dgm:t>
    </dgm:pt>
    <dgm:pt modelId="{A5DDC43E-5196-4535-95BD-290AF32C9B85}" type="pres">
      <dgm:prSet presAssocID="{E9B95762-B9A0-4203-835A-69EF40895110}" presName="levelTx" presStyleLbl="revTx" presStyleIdx="0" presStyleCnt="0">
        <dgm:presLayoutVars>
          <dgm:chMax val="1"/>
          <dgm:bulletEnabled val="1"/>
        </dgm:presLayoutVars>
      </dgm:prSet>
      <dgm:spPr/>
      <dgm:t>
        <a:bodyPr/>
        <a:lstStyle/>
        <a:p>
          <a:endParaRPr lang="de-DE"/>
        </a:p>
      </dgm:t>
    </dgm:pt>
    <dgm:pt modelId="{22F68FC7-152B-49F9-90A5-71B9BE6F8969}" type="pres">
      <dgm:prSet presAssocID="{E093BA44-1EAF-4B84-A660-55F5C2254B30}" presName="Name8" presStyleCnt="0"/>
      <dgm:spPr/>
    </dgm:pt>
    <dgm:pt modelId="{9FBB2CB7-2BCF-43E1-95FE-4D3E943E080B}" type="pres">
      <dgm:prSet presAssocID="{E093BA44-1EAF-4B84-A660-55F5C2254B30}" presName="level" presStyleLbl="node1" presStyleIdx="2" presStyleCnt="3" custLinFactNeighborY="4468">
        <dgm:presLayoutVars>
          <dgm:chMax val="1"/>
          <dgm:bulletEnabled val="1"/>
        </dgm:presLayoutVars>
      </dgm:prSet>
      <dgm:spPr/>
      <dgm:t>
        <a:bodyPr/>
        <a:lstStyle/>
        <a:p>
          <a:endParaRPr lang="de-DE"/>
        </a:p>
      </dgm:t>
    </dgm:pt>
    <dgm:pt modelId="{D2C094DC-AD8B-4D3A-933C-25E734BDF45B}" type="pres">
      <dgm:prSet presAssocID="{E093BA44-1EAF-4B84-A660-55F5C2254B30}" presName="levelTx" presStyleLbl="revTx" presStyleIdx="0" presStyleCnt="0">
        <dgm:presLayoutVars>
          <dgm:chMax val="1"/>
          <dgm:bulletEnabled val="1"/>
        </dgm:presLayoutVars>
      </dgm:prSet>
      <dgm:spPr/>
      <dgm:t>
        <a:bodyPr/>
        <a:lstStyle/>
        <a:p>
          <a:endParaRPr lang="de-DE"/>
        </a:p>
      </dgm:t>
    </dgm:pt>
  </dgm:ptLst>
  <dgm:cxnLst>
    <dgm:cxn modelId="{0F634C9B-E7AD-4A49-A42B-92DB8D31F991}" type="presOf" srcId="{E093BA44-1EAF-4B84-A660-55F5C2254B30}" destId="{9FBB2CB7-2BCF-43E1-95FE-4D3E943E080B}" srcOrd="0" destOrd="0" presId="urn:microsoft.com/office/officeart/2005/8/layout/pyramid1"/>
    <dgm:cxn modelId="{450CC204-0FB3-402A-B917-37F7629FE489}" type="presOf" srcId="{BEC26925-69C9-4642-8971-A1BBBCC024FF}" destId="{72723261-4768-49B1-A45D-5FEC9066CBC5}" srcOrd="1" destOrd="0" presId="urn:microsoft.com/office/officeart/2005/8/layout/pyramid1"/>
    <dgm:cxn modelId="{95A5D0DF-2EF7-4DBF-B2F9-3DF7A9DBFCDB}" type="presOf" srcId="{E9B95762-B9A0-4203-835A-69EF40895110}" destId="{7197770B-87D7-4017-B37E-AB6614AC3952}" srcOrd="0" destOrd="0" presId="urn:microsoft.com/office/officeart/2005/8/layout/pyramid1"/>
    <dgm:cxn modelId="{650188DF-89F8-47DD-B593-EA3CB1051487}" srcId="{A82A7F88-1168-4BB7-8EE7-F885DF3F9282}" destId="{E093BA44-1EAF-4B84-A660-55F5C2254B30}" srcOrd="2" destOrd="0" parTransId="{82339B51-617D-477E-805F-9D1C707FB28A}" sibTransId="{A2B56FDF-81D7-4A8D-8372-C4F3B1D76F51}"/>
    <dgm:cxn modelId="{8365C4B1-2C12-453A-ADD1-E14ABD4B7623}" type="presOf" srcId="{BEC26925-69C9-4642-8971-A1BBBCC024FF}" destId="{D45A96EB-0D50-4ED5-899A-3B99FEE4D52D}" srcOrd="0" destOrd="0" presId="urn:microsoft.com/office/officeart/2005/8/layout/pyramid1"/>
    <dgm:cxn modelId="{9A05881C-0526-475C-9042-CCA84F672CB2}" srcId="{A82A7F88-1168-4BB7-8EE7-F885DF3F9282}" destId="{E9B95762-B9A0-4203-835A-69EF40895110}" srcOrd="1" destOrd="0" parTransId="{D8DD5F1C-5E01-462D-BB0C-4DE0C9EC3A93}" sibTransId="{E484EE63-223F-4B51-A66C-523106CD09C4}"/>
    <dgm:cxn modelId="{0FACA1B4-91D6-497E-956E-39A0DEE4AF10}" type="presOf" srcId="{E093BA44-1EAF-4B84-A660-55F5C2254B30}" destId="{D2C094DC-AD8B-4D3A-933C-25E734BDF45B}" srcOrd="1" destOrd="0" presId="urn:microsoft.com/office/officeart/2005/8/layout/pyramid1"/>
    <dgm:cxn modelId="{F2C6E210-6376-474A-8D04-A34DFDF6729F}" type="presOf" srcId="{A82A7F88-1168-4BB7-8EE7-F885DF3F9282}" destId="{A21A3A83-A369-48E8-83B5-2A1439A46F32}" srcOrd="0" destOrd="0" presId="urn:microsoft.com/office/officeart/2005/8/layout/pyramid1"/>
    <dgm:cxn modelId="{761DFA64-FA7F-4CC2-A6D4-9325A41AFAD6}" srcId="{A82A7F88-1168-4BB7-8EE7-F885DF3F9282}" destId="{BEC26925-69C9-4642-8971-A1BBBCC024FF}" srcOrd="0" destOrd="0" parTransId="{C619D5F8-BCE2-4FC2-9E60-DFD89D05397E}" sibTransId="{44CCD0EC-7091-42F1-A1B6-97C1495D221C}"/>
    <dgm:cxn modelId="{24FD7258-37B7-491B-8EB4-8AD401DEC3FB}" type="presOf" srcId="{E9B95762-B9A0-4203-835A-69EF40895110}" destId="{A5DDC43E-5196-4535-95BD-290AF32C9B85}" srcOrd="1" destOrd="0" presId="urn:microsoft.com/office/officeart/2005/8/layout/pyramid1"/>
    <dgm:cxn modelId="{F125C62D-5C91-4E69-B5B7-D5830DBA7E9F}" type="presParOf" srcId="{A21A3A83-A369-48E8-83B5-2A1439A46F32}" destId="{3A0489A2-34E0-4C4E-916F-750EDEB857D3}" srcOrd="0" destOrd="0" presId="urn:microsoft.com/office/officeart/2005/8/layout/pyramid1"/>
    <dgm:cxn modelId="{42EE719F-4DF6-42D8-9DB1-160901BCCCD4}" type="presParOf" srcId="{3A0489A2-34E0-4C4E-916F-750EDEB857D3}" destId="{D45A96EB-0D50-4ED5-899A-3B99FEE4D52D}" srcOrd="0" destOrd="0" presId="urn:microsoft.com/office/officeart/2005/8/layout/pyramid1"/>
    <dgm:cxn modelId="{137426FE-C0E8-4725-837A-AF69914103D4}" type="presParOf" srcId="{3A0489A2-34E0-4C4E-916F-750EDEB857D3}" destId="{72723261-4768-49B1-A45D-5FEC9066CBC5}" srcOrd="1" destOrd="0" presId="urn:microsoft.com/office/officeart/2005/8/layout/pyramid1"/>
    <dgm:cxn modelId="{CA233E0F-C682-497D-B44E-553BCBDF4B05}" type="presParOf" srcId="{A21A3A83-A369-48E8-83B5-2A1439A46F32}" destId="{3FB34875-7251-4FFA-9DA4-6AD09FBC2D5F}" srcOrd="1" destOrd="0" presId="urn:microsoft.com/office/officeart/2005/8/layout/pyramid1"/>
    <dgm:cxn modelId="{AF35C957-2F64-4EFE-B99A-472E89378E95}" type="presParOf" srcId="{3FB34875-7251-4FFA-9DA4-6AD09FBC2D5F}" destId="{7197770B-87D7-4017-B37E-AB6614AC3952}" srcOrd="0" destOrd="0" presId="urn:microsoft.com/office/officeart/2005/8/layout/pyramid1"/>
    <dgm:cxn modelId="{0263CAB7-B583-4957-8E6F-BEF049600551}" type="presParOf" srcId="{3FB34875-7251-4FFA-9DA4-6AD09FBC2D5F}" destId="{A5DDC43E-5196-4535-95BD-290AF32C9B85}" srcOrd="1" destOrd="0" presId="urn:microsoft.com/office/officeart/2005/8/layout/pyramid1"/>
    <dgm:cxn modelId="{D5D3A3DF-C8F7-4C83-B313-BCCBF1EC74F3}" type="presParOf" srcId="{A21A3A83-A369-48E8-83B5-2A1439A46F32}" destId="{22F68FC7-152B-49F9-90A5-71B9BE6F8969}" srcOrd="2" destOrd="0" presId="urn:microsoft.com/office/officeart/2005/8/layout/pyramid1"/>
    <dgm:cxn modelId="{0FE6471C-D6B0-44FB-AC86-A1895C3E2B4D}" type="presParOf" srcId="{22F68FC7-152B-49F9-90A5-71B9BE6F8969}" destId="{9FBB2CB7-2BCF-43E1-95FE-4D3E943E080B}" srcOrd="0" destOrd="0" presId="urn:microsoft.com/office/officeart/2005/8/layout/pyramid1"/>
    <dgm:cxn modelId="{E6ED94BD-FD83-4337-86AB-2191A2E2E9E1}" type="presParOf" srcId="{22F68FC7-152B-49F9-90A5-71B9BE6F8969}" destId="{D2C094DC-AD8B-4D3A-933C-25E734BDF45B}"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4062B-DCE3-4A5B-BF3B-CF08B99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8295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Witzgall</dc:creator>
  <cp:lastModifiedBy>Klaus Witzgall</cp:lastModifiedBy>
  <cp:revision>3</cp:revision>
  <cp:lastPrinted>2018-02-27T08:54:00Z</cp:lastPrinted>
  <dcterms:created xsi:type="dcterms:W3CDTF">2018-02-27T08:54:00Z</dcterms:created>
  <dcterms:modified xsi:type="dcterms:W3CDTF">2018-02-27T09:02:00Z</dcterms:modified>
</cp:coreProperties>
</file>